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military_boards_audit_earnings</w:t>
      </w:r>
    </w:p>
    <w:p>
      <w:r>
        <w:t xml:space="preserve"> </w:t>
      </w:r>
    </w:p>
    <w:p>
      <w:pPr>
        <w:pStyle w:val="Heading2"/>
      </w:pPr>
      <w:r>
        <w:t>Title</w:t>
      </w:r>
    </w:p>
    <w:p>
      <w:r>
        <w:t>Difference-in-differences and instrumental-variables analysis of how military experience on corporate boards and external audit quality affect accrual and real earnings management in Pakistan-listed non-financial firms (2010–2022)</w:t>
      </w:r>
    </w:p>
    <w:p>
      <w:r>
        <w:t xml:space="preserve"> </w:t>
      </w:r>
    </w:p>
    <w:p>
      <w:pPr>
        <w:pStyle w:val="Heading2"/>
      </w:pPr>
      <w:r>
        <w:t>Short Hypothesis</w:t>
      </w:r>
    </w:p>
    <w:p>
      <w:r>
        <w:t>Appointment of military-experienced directors causally reduces both accrual-based and real earnings management, and this reduction is larger for firms with higher external audit quality.</w:t>
      </w:r>
    </w:p>
    <w:p>
      <w:r>
        <w:t xml:space="preserve"> </w:t>
      </w:r>
    </w:p>
    <w:p>
      <w:pPr>
        <w:pStyle w:val="Heading2"/>
      </w:pPr>
      <w:r>
        <w:t>Related Work</w:t>
      </w:r>
    </w:p>
    <w:p>
      <w:r>
        <w:t>Prior studies find that directors with military backgrounds are associated with better governance, higher earnings quality, and higher firm value. Existing empirical approaches typically use cross-sectional controls, simple panel fixed effects, or matching to compare firms with and without veterans on boards. Limitations in prior work include weak handling of selection bias (firms may hire veterans in response to prior problems), limited treatment of staggered or repeated appointments, underpowered tests for rare audit outcomes (like restatements), coarse measurement of military experience (binary flags without rank/committee context), and little attention to interaction with audit quality. Instrumental-variable (IV) approaches have been proposed but often rely on instruments with unclear exclusion validity or limited geographic sensitivity checks. Mediation claims (that veterans improve outcomes via audit-committee activity) are typically descriptive and not estimated with formal causal mediation methods.</w:t>
      </w:r>
    </w:p>
    <w:p>
      <w:r>
        <w:t xml:space="preserve"> </w:t>
      </w:r>
    </w:p>
    <w:p>
      <w:pPr>
        <w:pStyle w:val="Heading2"/>
      </w:pPr>
      <w:r>
        <w:t>Abstract</w:t>
      </w:r>
    </w:p>
    <w:p>
      <w:r>
        <w:t>This study tests whether military experience among board members strengthens corporate governance by reducing earnings management, and whether high-quality external audits amplify that effect. We analyze non-financial firms listed on the Pakistan Stock Exchange from 2010–2022. Our approach combines event-study difference-in-differences (DiD) for director appointment events, staggered-treatment estimators (Sun &amp; Abraham) to handle multiple cohorts, and two-stage least squares (2SLS) IVs based on exogenous local military-installation realignments and regional veteran-share shocks mapped to firm headquarters and major operating districts. We measure accrual-based manipulation (Modified-Jones and performance-adjusted accruals), real activity manipulation (abnormal cash flows, production, discretionary expenses), and discrete audit outcomes (restatements, modified opinions, audit fees). Main contributions are (1) causal identification of veteran-board effects using multiple pre-specified estimators and weak-IV-robust inference, (2) interaction tests with audit quality, and (3) formal mediation analysis via audit-committee activity. Expected outcome: evidence that veteran directors reduce earnings management, especially when audit quality is high, with transparent diagnostics for robustness.</w:t>
      </w:r>
    </w:p>
    <w:p>
      <w:r>
        <w:t xml:space="preserve"> </w:t>
      </w:r>
    </w:p>
    <w:p>
      <w:pPr>
        <w:pStyle w:val="Heading2"/>
      </w:pPr>
      <w:r>
        <w:t>Experiments</w:t>
      </w:r>
    </w:p>
    <w:p>
      <w:r>
        <w:t>Datasets: firm-year financials and filings for all non-financial firms listed on the Pakistan Stock Exchange, 2010–2022; director bios from company annual reports, SECP filings, BoardEx/LinkedIn where available, and hand-validated coding; audit reports and auditor identity/fees from filings; regional data on military-installation events and veteran population shares from Ministry of Defence releases, Pakistan Bureau of Statistics, and local news archives. Treatment: appointment of a military-experienced director (binary) and dose measures (veteran-years, proportion on audit committee). Instruments: indicators for military-installation realignments/relocations within distance radii of HQ/major plants (primary radius 50 km; sensitivity 25/50/75/100 km) and regional veteran-share shocks; continuous distance-weighted IVs (inverse-distance power 2 and Gaussian kernel). Baselines: (A) DiD/event-study OLS with firm and year fixed effects and leads/lags (leads t-3..t-1, lags t+1..t+3); (B) staggered-adoption Sun &amp; Abraham estimator; (C) 2SLS IV estimating veteran effect and interaction with audit-quality; (D) entropy-balanced DiD (matching covariates include log assets, leverage, ROA, market-to-book, sales growth, prior discretionary accruals, prior restatement, Big-4 auditor dummy, prior audit fees, institutional ownership, CEO tenure, board size, board independence). Evaluation metrics: coefficient estimates, cluster-robust SEs, first-stage F-stat and partial R2, Anderson-Rubin and LIML/Fuller weak-IV intervals, event-study pre-trend joint F-test and permutation p-values (randomization inference), standardized mean differences for balance, economic effect sizes (fractions of SD). Ablations and comparisons: (1) No-IV OLS vs IV 2SLS; (2) instrument radii and distance-weighting choices; (3) binary treatment vs cumulative dose; (4) mediator timing: audit-committee mediator measured in t vs t+1; (5) subsamples: Big-4 audited firms, high-complexity firms, firms with prior restatements. Placebo tests: fake appointment years, firms located &gt;150 km from military events, county-level non-defense outcomes. Reporting: trimmed samples outside [1%,99%] propensity bounds, balance tables, and robustness suites pre-registered.</w:t>
      </w:r>
    </w:p>
    <w:p>
      <w:r>
        <w:t xml:space="preserve"> </w:t>
      </w:r>
    </w:p>
    <w:p>
      <w:pPr>
        <w:pStyle w:val="Heading2"/>
      </w:pPr>
      <w:r>
        <w:t>Risk Factors And Limitations</w:t>
      </w:r>
    </w:p>
    <w:p>
      <w:r>
        <w:t>Measurement error in military coding: director bios may be incomplete or ambiguous, causing misclassification of veteran status. Endogenous selection: firms may hire veterans in response to prior reporting problems, complicating causal claims. Weak or invalid instruments: local military-installation events may influence firms through non-veteran channels (local demand, defense contracting), violating IV exclusion. Limited power for rare audit outcomes: restatements and modified opinions are infrequent, reducing ability to detect effects. Interference and spillovers: firms with multi-district operations or relocations create spillovers across treated areas; exclusions may reduce sample size. External validity: results on Pakistan-listed firms may not generalize to other countries or regulatory regimes. Data availability and licensing: director biographical data and military event records may be incomplete or restricted. Computational scale: constructing distance-weighted IVs, hand-validating bios, and running weak-IV inference across many robustness specs can be time- and compute-intensive.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