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three_layer_mcdm_vietnam_logistics_covid19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Three-layer multi-criteria decision-making assessment of listed Vietnamese logistics firms' performance across pre-, during-, and post-COVID-19 periods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three-layer MCDM procedure that blends AHP-derived expert weights and entropy-derived data weights and propagates imputation and weight uncertainty will produce firm rankings whose predictive validity for four-quarter excess stock returns is significantly higher than rankings produced by single-method weighting (AHP-only or entropy-only) for listed Vietnamese logistics firms across pre-, during-, and post-COVID-19 windows.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applies multi-criteria decision making (MCDM) tools—commonly AHP (Analytic Hierarchy Process, a pairwise expert-weighting method), TOPSIS/VIKOR (distance-based ranking methods), entropy weighting (a data-driven weight method), and ANP (allows inter-criteria feedback)—to firm performance and logistics evaluation. Limitations in prior studies include: (1) reliance on single weighting schemes or ad hoc blends without formal sensitivity grids; (2) limited treatment of missing operational data and little propagation of imputation uncertainty into rank inference; (3) sparse use of objective external validation (e.g., predictive validity vs financial outcomes) and econometric causal checks; (4) inconsistent normalization/transform choices and weak handling of MNAR (missing-not-at-random) scenarios; and (5) reproducibility gaps (no containerized pipelines or fixed seeds). These gaps reduce confidence in MCDM-based policy or managerial recommendations.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evaluate listed Vietnamese logistics firms across pre-, during-, and post-COVID-19 periods using a three-layer multi-criteria decision-making (MCDM) framework. The method combines: (a) a criterion hierarchy (financial, operational efficiency, market &amp; strategy, resilience, governance), (b) blended weights from AHP (expert judgments; AHP = Analytic Hierarchy Process) and entropy (data-driven) with a pre-registered sensitivity grid, and (c) rank aggregation via TOPSIS (a distance-based ranking method). We explicitly model missing data with MICE and Bayesian state-space (Kalman) imputations and propagate uncertainty by nesting multiple imputations (M) with Dirichlet-perturbed weight draws (K) to produce empirical rank distributions. Main contributions are: a reproducible pipeline that integrates imputation and weighting uncertainty into MCDA ranks; formal selection rules for weight blends based on rank stability and predictive validity; and econometric validation against external outcomes (four-quarter excess stock returns, throughput recovery). Expected outcomes include robust posterior rank distributions with confidence intervals, sensitivity maps for weights, and policy-relevant interpretations of firm resilience trajectories.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quarterly firm-level data for all listed Vietnamese logistics firms, 2018Q1–2023Q4; Tier1: audited financial statements (revenue, net profit, assets, current assets/liabilities); Tier2: operational KPIs (TEU throughput, fleet utilization, on-time delivery); Tier3: disclosures/proxies (disruption events, e-documentation). External validation series: four-quarter excess stock returns, port throughput, subsequent revenue growth, and survival indicators. Baselines: (A) AHP-only weights + TOPSIS, (B) entropy-only weights + TOPSIS, (C) equal-weights + TOPSIS, (D) ANP weights + TOPSIS, (E) TOPSIS without MI uncertainty (single imputation). Primary MCDM: blended weights baseline 0.6*AHP + 0.4*entropy; sensitivity grid AHP weight ∈ {1.0,0.9,...,0.0}. Missing-data &amp; uncertainty protocol: MICE (cross-section) and Bayesian Kalman smoother (time-series) with M=50 imputations; for each imputation draw K=200 Dirichlet-perturbed weight realizations producing M×K=10,000 TOPSIS runs to form empirical score and rank distributions. Evaluation metrics: predictive validity (RMSE and R^2 when predicting four-quarter excess returns; AUC for top-k prediction), rank stability (mean Spearman rho across imputations and weight draws), median CI width of ranks (95% percentile interval), P(top-k) probabilities, and concordance with throughput recovery (Spearman). Ablation studies: (1) remove entropy (AHP-only); (2) remove AHP (entropy-only); (3) omit measurement-error source reliability weights; (4) replace TOPSIS with VIKOR; (5) vary M ∈ {20,50,100} and K ∈ {50,200,500}; (6) MNAR scenarios: pattern-mixture and selection models with delta adjustments δ ∈ {±0.1,±0.25,±0.5} SD. Pilot: run full pipeline on 3–5 firms with ≥80% Tier1+Tier2 coverage to verify runtime and diagnostics. Reproducibility: fixed random seeds, Docker container, and versioned code repository for all experiments.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Technical/data risks: missing operational KPIs may be MNAR (not missing at random), causing biased imputations if unmodeled; expert elicitation bias or inconsistent AHP judgments (CR&gt;0.10) can distort weights; criterion dependencies (highly correlated KPIs) may invalidate independent-criteria assumptions and require ANP, increasing model complexity. Evaluation limits: four-quarter excess stock returns are weak or unavailable for small-cap or low-liquidity firms, reducing external validation power. Sample size and generalization: limited number of listed logistics firms reduces statistical power and external generalizability to private firms or other countries. Computational limits: nested M×K runs can be heavy for large K or M on limited hardware. Reproducibility and privacy: firm-level nonpublic data and NDAs may prevent full data sharing, impacting independent replication. Interpretation risks: rank uncertainty may be wide, making decisive managerial prescriptions difficult. Model-specification risks: MNAR model choices and prior settings for Bayesian state-space models can materially change imputed trajectories and downstream ranks.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