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lcc_stf_green_innovation_synergy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Multi-period difference-in-differences analysis of the joint effects of low-carbon city and sci-tech finance pilots on green innovation in China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Implementation of low-carbon city pilots combined with higher city-level sci-tech finance disbursements causally increases city- and firm-level green innovation relative to cities with only one or neither policy.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Previous studies use quasi-experimental designs (difference-in-differences and event studies) and patent-based indicators to estimate policy effects on green innovation. Recent methods address staggered policy timing with estimators designed to avoid weighting bias. Limitations remain: many analyses rely on two-way fixed effects which can mis-measure effects under staggered adoption; green-patent measures often suffer from classification and firm-linking errors; mediation through finance channels is rarely identified convincingly because of mediator endogeneity; spatial spillovers and interference (policy effects crossing city borders) are commonly ignored or treated ad hoc; and conversions from patents to emissions reductions use simple assumptions with little uncertainty quantification. These gaps limit causal precision and policy translation.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China’s low-carbon city (LCC) pilots and sci-tech finance (STF) pilots interact to increase green innovation and through which channels. Using a panel of 278 Chinese cities (2006–2021) and matched firm-patent-finance data, we apply multi-period difference-in-differences with staggered-adoption adjustments (Callaway–Sant’Anna and Sun–Abraham estimators) and event studies (leads/lags k = -6..+6). We measure green innovation with validated patent classifiers and citation-weighted indicators, quantify mediation by finance channels (loan volumes, policy-fund receipts, borrowing costs) using both causal mediation and instrumented-mediator approaches, and estimate spatial spillovers with spatial Durbin models. We pre-register primary outcomes, power targets, IV candidates, measurement-validation thresholds, and a Monte Carlo pipeline to map patents to potential CO2 reductions with uncertainty intervals. The main contribution is a transparent, robustness-focused assessment of the LCC×STF interaction, its finance-driven mechanisms, spatial diffusion, and policy-relevant metrics (patents per million RMB; estimated CO2 avoided). Expected outcome: credible estimates of synergy effects with quantified uncertainty for policymakers.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City panel: 278 Chinese prefectural-level cities, annual panel 2006–2021 with LCC binary start dates and annual STF disbursements per capita (RMB). (2) Firm-panel: firm-level patents (application year), balance-sheet variables, VC and bank loan flows, policy-fund receipts, and ownership. (3) Patent validation: hand-labeled 8,000–12,000 patents for classifier training and 2,000–3,000 holdout for testing. (4) Spatial layers: city boundaries, travel-time networks, bank-branch geocodes, patent-citation network, and inventor mobility traces. Baselines: (A) standard two-way fixed effects DID (city and year FE); (B) staggered-aware estimators (Callaway–Sant’Anna ATTg aggregated, Sun &amp; Abraham event-study); (C) triple-difference adding treated/non-treated STF intensity; (D) synthetic control for major pilots; (E) spatial Durbin model (SDM) for spillovers. Main regressions: Y_ict = α + β1 LCC_ct + β2 STF_ct + β3 (LCC_ct×STF_ct) + X'γ + δ_unit + δ_year + cohort FE + Σ_{k≠-1}θ_k LeadLag_k + ε_ict, with k=-6..+6 and k=-1 reference. Fixed effects: firm or city and year; robustness with industry×year and city×year. Clustering: cluster SEs at firm for firm-level and at city for city-level; report two-way clustering sensitivity and wild-cluster bootstrap if treated clusters are few. IVs and mediation: candidate instruments: administrative STF release dates, provincial STF quota formulas/cutoffs, and distance to nearest policy-bank branch. Require first-stage F&gt;10; estimate mediated (indirect) share with bootstrap CIs (1,000 draws) and instrumented mediator 2SLS where justified. Measurement and validation: report classifier precision, recall, F1 on holdout; report entity-resolution F1; apply SIMEX/regression-calibration corrections and present uncorrected and corrected estimates. Spatial tests: pre-specify matrices (queen contiguity, inverse-distance, travel-time, patent-citation network) and estimate SDM; test reflection via lagged instruments. Evaluation metrics: ATT estimates with 95% CI; event-study pre-trend joint F-test; mediation share and bootstrap CI; IV first-stage F and overidentification p-values; classifier precision/recall; placebo p-values; MDE tables with ICC-adjusted power. Multiple testing: Romano-Wolf stepdown within outcome families and BH-FDR across families. Ablations: (1) green patent definition: CPC-only vs ML-only vs hybrid; (2) STF measure: continuous z-score vs binary high-intensity; (3) clustering choices: city vs firm vs two-way and wild-bootstrap; (4) spatial: include vs exclude spatial lags; (5) mediation: causal mediation (Imai) vs instrumented mediator (2SLS); (6) patent→CO2 mapping: technology-specific lag priors vs uniform lag. Implementation details: pre-register primary outcome (one citation-weighted green-patent count per firm/city) and one secondary outcome (green-patent share); leads/lags up to 6 years; bootstrap 1,000 replicates for mediation and Monte Carlo mapping; report all raw and multiplicity-adjusted p-values.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Measurement error: misclassification of green patents and imperfect firm–patent linking can bias estimates; classifier or linking failure modes reduce precision. 2) Mediator endogeneity: instruments (release dates, distance) may violate exclusion if they affect innovation through other channels. 3) Few treated clusters: if the number of treated cities or cohorts is small, inference may be imprecise and conventional SEs unreliable. 4) Staggered-adoption bias: improper estimator choice can produce biased ATT; must use staggered-aware methods. 5) Spatial interference and attribution: cross-city spillovers and inventor relocations complicate attribution of patents to city treatments. 6) Policy bundling: concurrent local policies correlated with LCC/STF rollout may confound interpretation if not fully observed. 7) Power constraints: firm-level rare-event outcomes (high-value green patents) may have low power; MDE may be large for some subgroups. 8) Patent→CO2 mapping uncertainty: mapping patents to emissions reductions relies on adoption and diffusion assumptions and may not reflect realized deployment. 9) Data access and confidentiality: DUAs may limit public replication of microdata. 10) External validity: results from Chinese pilots may not generalize to other institutional contexts.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