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esg_tfp_ofdi_mode</w:t>
      </w:r>
    </w:p>
    <w:p>
      <w:r>
        <w:t xml:space="preserve"> </w:t>
      </w:r>
    </w:p>
    <w:p>
      <w:pPr>
        <w:pStyle w:val="Heading2"/>
      </w:pPr>
      <w:r>
        <w:t>Title</w:t>
      </w:r>
    </w:p>
    <w:p>
      <w:r>
        <w:t>Instrumented causal analysis of how firm ESG performance affects outward FDI mode choice via total factor productivity</w:t>
      </w:r>
    </w:p>
    <w:p>
      <w:r>
        <w:t xml:space="preserve"> </w:t>
      </w:r>
    </w:p>
    <w:p>
      <w:pPr>
        <w:pStyle w:val="Heading2"/>
      </w:pPr>
      <w:r>
        <w:t>Short Hypothesis</w:t>
      </w:r>
    </w:p>
    <w:p>
      <w:r>
        <w:t>Improvements in a firm's ESG performance causally increase the probability that the firm chooses greenfield outward foreign direct investment (instead of cross-border acquisition) by raising the firm's total factor productivity.</w:t>
      </w:r>
    </w:p>
    <w:p>
      <w:r>
        <w:t xml:space="preserve"> </w:t>
      </w:r>
    </w:p>
    <w:p>
      <w:pPr>
        <w:pStyle w:val="Heading2"/>
      </w:pPr>
      <w:r>
        <w:t>Related Work</w:t>
      </w:r>
    </w:p>
    <w:p>
      <w:r>
        <w:t>Prior work documents positive correlations between firm ESG scores and productivity measures and separately shows that higher productivity firms are more likely to undertake greenfield FDI rather than acquisitions. Existing empirical approaches typically use reduced-form regressions or simple difference-in-differences and often treat ESG and productivity as exogenous. Limitations include endogeneity of ESG (reverse causality and omitted confounders), measurement error and provider discordance in ESG ratings, bias and simultaneity in common TFP estimators, selection into OFDI (entry versus non-entry), and challenges of instrumenting for ESG in nonlinear multinomial choice models. Staggered policy adoption and index reconstitutions create identification complications if not handled with modern DiD estimators. Prior studies seldom integrate a causal mediation framework to show that TFP transmits ESG effects on discrete OFDI mode choice.</w:t>
      </w:r>
    </w:p>
    <w:p>
      <w:r>
        <w:t xml:space="preserve"> </w:t>
      </w:r>
    </w:p>
    <w:p>
      <w:pPr>
        <w:pStyle w:val="Heading2"/>
      </w:pPr>
      <w:r>
        <w:t>Abstract</w:t>
      </w:r>
    </w:p>
    <w:p>
      <w:r>
        <w:t>This study examines whether and how firm-level ESG performance causally influences the choice of OFDI mode (greenfield versus acquisition) through changes in total factor productivity (TFP). We build a theoretical model linking ESG to firm productivity and to mode choice, then test it using a panel of Chinese listed firms combined with external event logs (ESG disclosure mandates, index reconstitutions, carbon policy reforms) and provider ESG panels. Empirically, we pre-specify staggered difference-in-differences for event shocks and instrument ESG with policy timing interacted with industry exposure. For mode choice we estimate an instrumented conditional logit using a two-stage residual inclusion (2SRI) control-function approach and correct selection into any OFDI with a pre-entry selection model. TFP is estimated primarily with ACF and decomposed into persistent components for moderation. Main contributions are (1) integrating ESG into OLI and new-new trade frameworks via TFP, (2) a reproducible identification pipeline combining staggered DiD, IV, and nonlinear IV diagnostics, and (3) quantifying heterogeneous ESG effects across the TFP distribution.</w:t>
      </w:r>
    </w:p>
    <w:p>
      <w:r>
        <w:t xml:space="preserve"> </w:t>
      </w:r>
    </w:p>
    <w:p>
      <w:pPr>
        <w:pStyle w:val="Heading2"/>
      </w:pPr>
      <w:r>
        <w:t>Experiments</w:t>
      </w:r>
    </w:p>
    <w:p>
      <w:r>
        <w:t>Datasets: (1) Firm-year panel of Chinese listed firms (e.g., 2008–2022) with financials and firm identifiers; (2) OFDI transaction records at firm-year level with mode label (greenfield vs acquisition); (3) ESG provider panels (MSCI, Refinitiv, Sustainalytics) and provider event logs for index inclusions/exclusions; (4) policy/regulatory event logs for ESG disclosure mandates and national carbon/ETS reforms; (5) industry×year price indices for deflation. Baselines: (A) OLS/LPM by mode with standard controls; (B) multinomial logit without IV; (C) conditional logit with firm fixed effects (no IV); (D) 2SLS linear probability by mode using instruments; (E) correlated random-effects multinomial probit (MNP). Primary specification: conditional logit with firm fixed effects, controls = lagged size, lagged ROA, prior OFDI experience, firm age, patent counts, industry×year and country×year fixed effects; clustering = country×industry; standard errors via wild-cluster bootstrap when clusters are few. Instrument construction examples: (1) policy_timing × industry_export_exposure (continuous) where industry_export_exposure = industry outbound intensity; (2) index_inclusion_dummy (announcement vs effective date) for provider rebalancing; (3) ETS_enactment_dummy. First stage: ESG_it = α + π Instruments_it + X_it-1 + FE + u_it; report F-stat and partial R2, Kleibergen–Paap. Second stage (2SRI): include first-stage residuals in conditional logit and report marginal effects with bootstrap CIs. Selection: Heckman two-step using pre-entry covariates and pre-treatment instruments for entry stage. TFP: estimate ACF residuals, generate persistent component via AR(1)/Kalman smoothing, use lagged persistent TFP (t-1) for ESG×TFP interaction. Ablations: (i) replace ACF with LP and OP; (ii) use provider-specific ESG instead of harmonized composite; (iii) no-IV vs IV; (iv) SIMEX correction vs raw; (v) alternate nonlinear IVs: control-function vs full-information structural mixed logit. Robustness and falsification: event-studies (CS-did, Sun &amp; Abraham), announcement-placebo windows, placebo outcomes (pre-policy CAPEX), negative-control sectors, and leave-one-out network exposure. Evaluation metrics: average treatment effect on probability of greenfield (marginal effect), ATT from DiD, first-stage F-stat, Kleibergen–Paap, Anderson–Rubin/CLR p-values, mediated proportion attributed to TFP, and coverage/power metrics from Monte Carlo.</w:t>
      </w:r>
    </w:p>
    <w:p>
      <w:r>
        <w:t xml:space="preserve"> </w:t>
      </w:r>
    </w:p>
    <w:p>
      <w:pPr>
        <w:pStyle w:val="Heading2"/>
      </w:pPr>
      <w:r>
        <w:t>Risk Factors And Limitations</w:t>
      </w:r>
    </w:p>
    <w:p>
      <w:r>
        <w:t>Data quality and coverage: ESG providers disagree and contain missing or nonrandomly missing entries (MNAR), limiting generalizability. Measurement error: attenuation in ESG and TFP estimates may bias interaction coefficients; SIMEX and rank approaches may not fully correct nonclassical errors. Instrument validity: policy timing or index events may violate exclusion (concurrent reforms, anticipation) producing biased IV estimates; weak instruments are possible, especially for subgroups. Nonlinear IV identification: 2SRI may be inconsistent under certain latent-utility specifications; full-information structural estimation is computationally heavy and may not converge. Selection and sample size: few treated clusters or low counts of greenfield events can reduce power and invalidate asymptotic inference. Spillovers and network dependence: unmodeled cross-firm spillovers can bias ATT estimates. External validity: results from Chinese listed firms may not generalize to privately held firms or other countries. Mediation limits: causal mediation relies on strong sequential‑ignorability or valid mediator instruments; otherwise mediation estimates are partially identified.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