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e_trust_esat_repurchase_bd</w:t>
      </w:r>
    </w:p>
    <w:p>
      <w:r>
        <w:t xml:space="preserve"> </w:t>
      </w:r>
    </w:p>
    <w:p>
      <w:pPr>
        <w:pStyle w:val="Heading2"/>
      </w:pPr>
      <w:r>
        <w:t>Title</w:t>
      </w:r>
    </w:p>
    <w:p>
      <w:r>
        <w:t>Structural equation modeling and two-stage least squares analysis of the relationships among e-satisfaction, e-trust, and online repurchase intentions in Bangladeshi students</w:t>
      </w:r>
    </w:p>
    <w:p>
      <w:r>
        <w:t xml:space="preserve"> </w:t>
      </w:r>
    </w:p>
    <w:p>
      <w:pPr>
        <w:pStyle w:val="Heading2"/>
      </w:pPr>
      <w:r>
        <w:t>Short Hypothesis</w:t>
      </w:r>
    </w:p>
    <w:p>
      <w:r>
        <w:t>Higher latent e-trust increases online repurchase intention indirectly through higher e-satisfaction, and this indirect effect is stronger for students with greater prior online experience.</w:t>
      </w:r>
    </w:p>
    <w:p>
      <w:r>
        <w:t xml:space="preserve"> </w:t>
      </w:r>
    </w:p>
    <w:p>
      <w:pPr>
        <w:pStyle w:val="Heading2"/>
      </w:pPr>
      <w:r>
        <w:t>Related Work</w:t>
      </w:r>
    </w:p>
    <w:p>
      <w:r>
        <w:t>Prior research has measured e-customer satisfaction, e-trust, and repurchase intention using survey-based latent-variable models and often applied structural equation modeling (SEM) to test associations and mediation. Many studies report positive associations between trust and satisfaction and between satisfaction and repurchase intention. Limitations across this literature include reliance on cross-sectional convenience samples, inconsistent measurement models (varying item sets and weak validation), limited testing of measurement invariance across subgroups or languages, and sparse attention to endogeneity (reverse causality or omitted variables). Standard robustness checks are often missing: few studies use instrumental-variable approaches (such as two-stage least squares, 2SLS) to address possible endogeneity, and few report power simulations for complex SEMs or prespecified decision rules for model selection. Multigroup tests and formal handling of clustering, missingness, and MNAR (missing not at random) are also underused, limiting causal claims and generalizability.</w:t>
      </w:r>
    </w:p>
    <w:p>
      <w:r>
        <w:t xml:space="preserve"> </w:t>
      </w:r>
    </w:p>
    <w:p>
      <w:pPr>
        <w:pStyle w:val="Heading2"/>
      </w:pPr>
      <w:r>
        <w:t>Abstract</w:t>
      </w:r>
    </w:p>
    <w:p>
      <w:r>
        <w:t>This study examines how electronic customer trust (e-trust) and electronic satisfaction (e-satisfaction) shape students’ intentions to repurchase online in a developing-country context. We use latent-variable structural equation modeling (SEM) to test a mediation model where e-trust influences repurchase intention through e-satisfaction, and we test whether prior online experience moderates the mediation. We analyze survey data from 415 Bangladeshi university students and report CFA model comparisons (first-order, higher-order, bifactor) and mediation estimates with bias-corrected bootstrap confidence intervals. To address possible endogeneity of e-trust, we run two-stage least squares (2SLS) as a robustness check using external instruments and report first-stage strength and overidentification tests. Main contributions are (1) a preregistered measurement and decision-rule workflow for SEM in student e-commerce research, (2) combined SEM and 2SLS evidence on mediation and moderation, and (3) evaluation of measurement invariance and clustering effects to support interpretable inference for policy and platform design.</w:t>
      </w:r>
    </w:p>
    <w:p>
      <w:r>
        <w:t xml:space="preserve"> </w:t>
      </w:r>
    </w:p>
    <w:p>
      <w:pPr>
        <w:pStyle w:val="Heading2"/>
      </w:pPr>
      <w:r>
        <w:t>Experiments</w:t>
      </w:r>
    </w:p>
    <w:p>
      <w:r>
        <w:t>Datasets: primary survey of N=415 Bangladeshi university students collected in two waves (Wave1: demographics, prior online experience, e-trust items; Wave2 1–2 weeks later: e-satisfaction items, repurchase intention items). Item set: e-trust 9 items (3 subfactors ×3 items), e-satisfaction 12 items (3 subfactors ×4 items), repurchase intention 3 items. Additional variables: web design, fair price, delivery service, customer service quality, security perceptions, digital literacy, institutional cluster id, and district-level internet reliability (candidate instrument). Baselines: (A) observed-score OLS regressions; (B) single-equation SEM without mediation; (C) SEM mediation model (latent e-trust → latent e-satisfaction → latent repurchase); (D) multigroup SEM split by prior online experience (median split); (E) 2SLS with e-trust instrumented by district internet reliability and cluster-aggregated platform security index (first stage must have F-statistic&gt;10). Evaluation metrics: standardized and unstandardized direct and indirect effects; bias-corrected bootstrap 95% CIs (5,000 draws) for indirect effects; model fit indices CFI, TLI, RMSEA, SRMR (for ordinal data use WLSMV-based SRMR); first-stage F-stat, Hansen J or Sargan overidentification p-value for 2SLS; R-squared for outcome; AIC/BIC for model comparison; measurement reliability (omega). Estimators and procedures: use WLSMV (estimator for ordinal items; WLSMV handles ordered categorical responses), report robust ML for sensitivity; handle missing data with FIML (full-information maximum likelihood) and multiple imputation (MI) as secondary check; run MNAR sensitivity via pattern-mixture deltas (Δ = ±0.2 and ±0.5 SD anchored to qualitative dropout reasons). Model selection and ablations: (1) compare measurement models A–D and select by ΔCFI≥.01, RMSEA and AIC/BIC; (2) ablation removing mediator (no e-satisfaction) to test direct effect stability; (3) ablation replacing WLSMV with ML and with IRT graded-response scoring for item-level sensitivity; (4) subgroup analyses by gender and institution, report as confirmatory if n≥150 per group else exploratory. Clustering and variance: apply TYPE=COMPLEX or sandwich robust SEs by class/program cluster and report DEFF and ICC. Significance rules: primary tests two-sided α=0.05; secondary tests control false discovery rate (FDR) at 0.05. Reproducibility: share analysis scripts (R lavaan and 2SLS code), random seeds, and software versions.</w:t>
      </w:r>
    </w:p>
    <w:p>
      <w:r>
        <w:t xml:space="preserve"> </w:t>
      </w:r>
    </w:p>
    <w:p>
      <w:pPr>
        <w:pStyle w:val="Heading2"/>
      </w:pPr>
      <w:r>
        <w:t>Risk Factors And Limitations</w:t>
      </w:r>
    </w:p>
    <w:p>
      <w:r>
        <w:t>Sample size and power: primary sample N=415 is below the preregistered target N≈500, reducing power to detect small indirect effects and limiting subgroup tests. Causal identification: cross-sectional survey design and observational data limit causal claims; 2SLS validity depends on instrument strength and exclusion (instruments may be weak or invalid). Measurement: possible measurement noninvariance across language or subgroups may bias comparisons. Missing data: MNAR mechanisms (nonrandom dropout) could bias estimates if auxiliary variables do not fully capture missingness. Clustering: few clusters or small clusters (clusters&lt;20) reduce reliability of cluster-robust SEs and multigroup inferences. Common method bias and social desirability: self-report measures collected close in time may inflate associations. Generalizability: results apply to Bangladeshi university students and may not generalize to other populations or countries. Model sensitivity: SEM fit indices can conflict and model selection may be ambiguous. Computational aspects: complex SEM and simulations require moderate compute; Monte Carlo scenarios may be limited by available resources.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