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firm_positionality_informativeness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moderation of price informativeness on the brand value → firm positionality relationship using continuous staggered difference-in-differences and experimental validation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exogenous increase in price informativeness causally amplifies the positive effect of brand value on firm positionality for peripheral firms and attenuates or reverses that effect for central firms.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studies brand value, firm strategic position, and price informativeness largely in separate strands. Brand-value research links intangible brand measures to firm outcomes but focuses on direct performance metrics rather than strategic placement in networks. Price-informativeness research (often proxied by stock synchronicity or return-based measures) examines how public signals affect market prices and allocation, yet typically treats informativeness as an outcome or mediator for market efficiency rather than as a moderator of firm–brand dynamics. Causal applied-economics work uses staggered difference-in-differences (DiD) and event studies to infer dynamic effects, but standard two-way fixed-effect DiD is known to bias estimates under staggered timing and heterogeneous treatment effects. Machine-read text measures (ASR/OCR/NLP) are useful for large-scale informativeness indices but suffer from measurement error that is often uncorrected. Experimental studies test disclosure effects in lab or survey settings but face external-validity limits for real funding or analyst responses. In sum, prior methods either mis-handle continuous and staggered treatments, under-correct measurement error in automated text measures, or lack triangulation between panel causal inference and behavioral experiments.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investigate whether price informativeness changes the causal effect of brand value on a firm's strategic positionality within markets and networks. Price informativeness is treated as a continuous, time-varying moderator that can strengthen or weaken how brand value translates into firm positional advantages (for example, visibility to investors, attractiveness to partners, or negotiating power). We combine a continuous, staggered difference-in-differences estimator for dynamic dose-response effects with experimental validation using controlled disclosure stimuli. The empirical contribution is threefold: (1) a pre-registered continuous-dose causal identification protocol for staggered adoption settings, (2) measurement-error corrected automated informativeness indices using a stratified validation subsample and SIMEX bias correction, and (3) behavioral experiments (3×3 factorial) testing mechanisms across channels and stakeholder types. Expected outcomes are credible estimates of how marginal changes in informativeness alter the brand→positionality mapping, evidence of heterogeneous effects by centrality, and actionable effect sizes interpretable for managers (e.g., change in outcome per standard-deviation increase in informativeness).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Firm communications: earnings call transcripts, investor presentations, and R&amp;D/strategy releases for 2010–2024; (2) Market data: daily returns, trading volume, bid-ask spreads; (3) Firm metadata: brand-value scores (commercial brand indices or firm-reported intangibles), accounting controls, patent counts, network centrality measures; (4) Regulatory/IV events: jurisdiction disclosure mandate dates, industry taxonomy adoptions, platform outage logs. Validation subsample: stratified sample n=450 documents (strata: firm-size tertiles × channel × positionality tertiles) for ASR/OCR/NLP error quantification. Causal-design: primary estimator = continuous Callaway &amp; Sant’Anna (C&amp;S-A) adapted for continuous dosage with spline-based dose-response; event windows: panel quarters −8 to +8 around informativeness change; market event-study window −30 to +30 trading days. Baselines: (A) pooled OLS with firm and time fixed effects, (B) standard two-way fixed-effect DiD with binary treatment, (C) discretized C&amp;S-A (3-bin and 5-bin), (D) generalized dose-response DiD (alternative estimator), (E) causal forest heterogeneity (GRF) for treatment-effect discovery. IV analyses: two-stage estimates using jurisdiction and industry shocks as instruments; weak-IV-robust variants (Anderson–Rubin and conditional likelihood ratio tests) applied where needed. Measurement correction: SIMEX with lambda ∈ {0.5,1.0,1.5,2.0}, m=200 simulations; compare SIMEX-corrected vs uncorrected. Experimental plan: 3 (positionality: peripheral/mid/central) × 3 (informativeness: low/med/high) factorial online experiments across channels, 120 participants per cell for retail investor sample (total 1080) plus 80–100 per cell for analyst panel where feasible. Metrics: primary causal metrics = dynamic ATT (average treatment effect on the treated) over leads/lags; evaluation metrics for estimators = bias, RMSE, CI coverage, and statistical power from simulations; market/managerial outcomes = analyst forecast dispersion, fund-raising incidence/amount, investor allocation change in experiments; manipulation checks and attention metrics in experiments. Ablations and comparisons: (1) continuous C&amp;S-A vs 3- and 5-bin discretizations; (2) SIMEX vs no measurement correction; (3) C&amp;S-A vs generalized dose-response DiD; (4) causal forest heterogeneity vs pre-specified subgroup DiD. Pre-registration: all estimators, windows, falsification tests, primary vs secondary outcomes, and multiple-testing families will be pre-registered.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weak instruments (IVs) may not satisfy exclusion or relevance; first-stage F may be low, requiring weak-IV robust inference. Measurement-error risk: ASR/OCR/NLP errors may be non-classical (correlated with firm size, disclosure length, or outcome) biasing SIMEX assumptions; correlated measurement error reduces correction accuracy. Estimator limits: continuous staggered DiD requires parallel trends conditional on controls; time-varying confounding can bias estimates. Discretization risk: coarse binning attenuates heterogeneous dose effects. Experimental limits: online surveys may not generalize to institutional decision makers; simulated incentives may not replicate real financial stakes. Data and sampling bias: brand-value indices and available communications may skew toward larger or public firms, limiting generalizability to private or small firms. Inference constraints: cluster counts may be small (few firms or industries), complicating cluster-robust inference and requiring wild-cluster bootstrap which reduces power. Compute and storage: ASR/OCR processing and simulation grids (SIMEX, estimator comparisons) require GPU-enabled compute and several terabytes of storage; resource limits may constrain scale. Managerial translation: estimated marginal effects may not map directly to actionable ROI without additional cost and feasibility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