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supplier_malpractices_market_value</w:t>
      </w:r>
    </w:p>
    <w:p>
      <w:r>
        <w:t xml:space="preserve"> </w:t>
      </w:r>
    </w:p>
    <w:p>
      <w:pPr>
        <w:pStyle w:val="Heading2"/>
      </w:pPr>
      <w:r>
        <w:t>Title</w:t>
      </w:r>
    </w:p>
    <w:p>
      <w:r>
        <w:t>Causal estimation of the effect of supplier malpractices on restaurant market value using event‑study, staggered difference‑in‑differences, and instrumental variables</w:t>
      </w:r>
    </w:p>
    <w:p>
      <w:r>
        <w:t xml:space="preserve"> </w:t>
      </w:r>
    </w:p>
    <w:p>
      <w:pPr>
        <w:pStyle w:val="Heading2"/>
      </w:pPr>
      <w:r>
        <w:t>Short Hypothesis</w:t>
      </w:r>
    </w:p>
    <w:p>
      <w:r>
        <w:t>Exogenous supplier malpractices cause a statistically significant negative change in publicly traded restaurants' cumulative abnormal returns over the [0,+2] trading‑day window following public disclosure.</w:t>
      </w:r>
    </w:p>
    <w:p>
      <w:r>
        <w:t xml:space="preserve"> </w:t>
      </w:r>
    </w:p>
    <w:p>
      <w:pPr>
        <w:pStyle w:val="Heading2"/>
      </w:pPr>
      <w:r>
        <w:t>Related Work</w:t>
      </w:r>
    </w:p>
    <w:p>
      <w:r>
        <w:t>Prior research documents negative market responses to food safety incidents and supplier failures, often interpreted through signaling models where operational failures inform investors about firm quality. Recent empirical work emphasizes stronger causal designs (event studies, difference‑in‑differences, instrumental variables, regression discontinuity, and synthetic controls) and reproducibility, but limitations remain: many studies rely on correlational identification or two‑way fixed effects that are biased under staggered timing; measurement error from delayed detection and imperfect supplier–restaurant linkage is often unaddressed; spillovers across networks of shared suppliers are rarely modeled beyond simple locality checks; instrument exclusion arguments are typically qualitative without quantification of local demand elasticities; and reproducible pipelines with linkage uncertainty propagation are uncommon. These gaps motivate a design that combines modern staggered estimators, explicit instrument diagnostics, entity‑resolution audits, and sensitivity bounds.</w:t>
      </w:r>
    </w:p>
    <w:p>
      <w:r>
        <w:t xml:space="preserve"> </w:t>
      </w:r>
    </w:p>
    <w:p>
      <w:pPr>
        <w:pStyle w:val="Heading2"/>
      </w:pPr>
      <w:r>
        <w:t>Abstract</w:t>
      </w:r>
    </w:p>
    <w:p>
      <w:r>
        <w:t>This study measures how supplier malpractices causally affect restaurant firms' market value and traces the channels from operational failures to financial and reputational losses. We link supplier recall and inspection events to firm procurement and POS data, stock returns, foot traffic, and consumer sentiment. Our identification strategy uses finely timed event studies for short‑term market reactions, Callaway &amp; Sant'Anna staggered difference‑in‑differences for dynamic exposure with staggered incidents, and instrumental variables based on localized supplier‑facility shocks (e.g., facility weather or port disruptions) with pre‑specified exclusion diagnostics. We operationalize a regulator‑anchored severity scale, perform probabilistic entity resolution with audit sampling, and propagate linkage uncertainty via multiple imputation. We report primary estimates with Manski‑style bounds and simulation envelopes for detection lag and mislinking. The main contribution is a reproducible, pre‑registered pipeline that quantifies immediate and persistent market value losses, decomposes reputational versus fundamental channels, and supplies robust inference under realistic measurement and spillover uncertainty.</w:t>
      </w:r>
    </w:p>
    <w:p>
      <w:r>
        <w:t xml:space="preserve"> </w:t>
      </w:r>
    </w:p>
    <w:p>
      <w:pPr>
        <w:pStyle w:val="Heading2"/>
      </w:pPr>
      <w:r>
        <w:t>Experiments</w:t>
      </w:r>
    </w:p>
    <w:p>
      <w:r>
        <w:t>Datasets: (1) supplier incident registry with detection, recall, and disclosure dates and regulatory flags; (2) supplier–restaurant procurement links and spend data (chain-level and outlet-level where available); (3) daily stock returns and market caps for publicly traded restaurant firms; (4) POS daily sales for pilot chains; (5) SafeGraph foot traffic and reservation platform metrics; (6) consumer reviews and social media text (Yelp, Google Reviews, Twitter) for sentiment indices. Baselines: (A) standard event‑study using market model/TWFE CARs; (B) two‑way fixed‑effects DiD; (C) naive exposure ignoring severity and linkage uncertainty. Proposed estimators: event‑study CARs ([0,+2], [−1,+1], [0,+5]); Callaway &amp; Sant'Anna staggered DiD (group‑time ATTs); IV using localized supplier‑facility shocks; RD and synthetic control as robustness. Evaluation metrics: CAR point estimates and 95% CI; p‑values and uniform confidence bands for event‑time series; first‑stage F statistics and partial R2 for IV; Anderson‑Rubin CIs when weak; pre‑trend coefficients (lead tests); kappa for severity coder inter‑rater reliability; precision/recall/F1 for entity resolution; false‑link rate CI from 500‑edge audit; sentiment classifier precision/recall/F1; MDEs for CARs and outlet sales. Experimental setup: pre‑register event selection and stacking rules; primary event time = public disclosure (with robustness to internal detection); entity‑resolution thresholds at 0.75/0.85/0.95 with 50 multiple‑imputed linkage datasets combined via Rubin's rules; run IV diagnostics (F&gt;10 threshold), falsification tests on placebo geographies and non‑food outcomes, and negative controls. Ablations: (1) remove severity weighting; (2) ignore linkage uncertainty; (3) replace Callaway &amp; Sant'Anna with TWFE and Sun &amp; Abraham for comparison; (4) compare instruments (weather vs power vs port) by first‑stage strength and exclusion falsifications. Sensitivity experiments: simulation grid varying detection lag (0–30 days) and false‑link rate (0–10%) to compute Manski bounds and report attenuation bias envelopes.</w:t>
      </w:r>
    </w:p>
    <w:p>
      <w:r>
        <w:t xml:space="preserve"> </w:t>
      </w:r>
    </w:p>
    <w:p>
      <w:pPr>
        <w:pStyle w:val="Heading2"/>
      </w:pPr>
      <w:r>
        <w:t>Risk Factors And Limitations</w:t>
      </w:r>
    </w:p>
    <w:p>
      <w:r>
        <w:t>Instrument exclusion may fail if supplier‑facility shocks (weather, outages) also change local consumer demand; instruments could be weak in many cases (low F), yielding imprecise IV estimates. Detection lag and left‑censoring can cause timing misalignment and attenuate short‑window CARs; deconvolution and bounds reduce but do not eliminate this bias. Entity resolution errors (false links or missed links) can bias exposure and spillover estimates; audit samples may be insufficient if network heterogeneity is large. Small numbers of publicly traded treated firms limit power and inference (cluster counts may be &lt;50), requiring conservative inference (wild bootstrap or permutation) and reducing generalizability. Sentiment classifiers can misclassify domain‑specific complaints (transfer error across platforms), and mediation analyses depend on precise temporal alignment. Legal and data‑use constraints (DUAs, NDAs) may restrict sharing of sensitive inputs, limiting reproducibility of raw data. Computational costs for multiple imputations, bootstraps, and permutation tests may be high for large networks. Results may not generalize to private or international restaurant chains with different supply architectures.</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