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eu_funds_tfp_spatial_did</w:t>
      </w:r>
    </w:p>
    <w:p>
      <w:r>
        <w:t xml:space="preserve"> </w:t>
      </w:r>
    </w:p>
    <w:p>
      <w:pPr>
        <w:pStyle w:val="Heading2"/>
      </w:pPr>
      <w:r>
        <w:t>Title</w:t>
      </w:r>
    </w:p>
    <w:p>
      <w:r>
        <w:t>Estimating the causal impact of EU cohesion funds on regional total factor productivity using staggered difference-in-differences with spatial exposure</w:t>
      </w:r>
    </w:p>
    <w:p>
      <w:r>
        <w:t xml:space="preserve"> </w:t>
      </w:r>
    </w:p>
    <w:p>
      <w:pPr>
        <w:pStyle w:val="Heading2"/>
      </w:pPr>
      <w:r>
        <w:t>Short Hypothesis</w:t>
      </w:r>
    </w:p>
    <w:p>
      <w:r>
        <w:t>Greater regional exposure to EU cohesion funds increases regional total factor productivity (TFP) growth between 2000 and 2019, after controlling for capital accumulation and spatial spillovers.</w:t>
      </w:r>
    </w:p>
    <w:p>
      <w:r>
        <w:t xml:space="preserve"> </w:t>
      </w:r>
    </w:p>
    <w:p>
      <w:pPr>
        <w:pStyle w:val="Heading2"/>
      </w:pPr>
      <w:r>
        <w:t>Related Work</w:t>
      </w:r>
    </w:p>
    <w:p>
      <w:r>
        <w:t>Existing approaches apply difference-in-differences (DiD) and event-study designs to estimate fund impacts, spatial econometric models (e.g., Spatial Durbin Models) to capture spillovers, and instrumental-variable (IV) methods to address allocation endogeneity. Limitations include bias from staggered treatment timing under two-way fixed effects (TWFE), insufficient handling of interference (spillovers) that break the no-interference assumption, aggregation bias when linking project microdata to regions, measurement error in regional capital stocks and TFP, and weak or invalid IVs that fail exclusion restrictions. Many studies also do not report calibrated power or minimum detectable effects under spatial dependence, and they rarely combine staggered-DiD, explicit exposure mappings, and spatial-IV approaches in a single pre-registered pipeline.</w:t>
      </w:r>
    </w:p>
    <w:p>
      <w:r>
        <w:t xml:space="preserve"> </w:t>
      </w:r>
    </w:p>
    <w:p>
      <w:pPr>
        <w:pStyle w:val="Heading2"/>
      </w:pPr>
      <w:r>
        <w:t>Abstract</w:t>
      </w:r>
    </w:p>
    <w:p>
      <w:r>
        <w:t>This study measures how European Structural and Investment Funds affect regional total factor productivity (TFP) growth from 2000 to 2019 while explicitly accounting for spatial spillovers and heterogeneous capital accumulation. We operationalize regional exposure by geocoding projects and constructing population-weighted footprints, and estimate continuous treatment effects using a staggered difference-in-differences estimator (Callaway &amp; Sant’Anna extended to dose-response) to handle varied timing and intensity. We model interference with spatial weight matrices and a Spatial Durbin Model (SDM) to separate direct and indirect (spillover) effects, and we instrument realized payments with predicted-allocation shares, eligibility cutoffs, and project-approval timing to address endogeneity. Main contributions are (1) a unified, pre-registered causal pipeline combining dose-response staggered-DiD, spatial exposure, and spatial-IV identification, and (2) policy-relevant decompositions of fund-type effects and cost-effectiveness estimates. Expected outcomes are transparent ATT estimates by fund and region, quantified spillover decay, and calibrated minimum detectable effects to guide policy interpretation.</w:t>
      </w:r>
    </w:p>
    <w:p>
      <w:r>
        <w:t xml:space="preserve"> </w:t>
      </w:r>
    </w:p>
    <w:p>
      <w:pPr>
        <w:pStyle w:val="Heading2"/>
      </w:pPr>
      <w:r>
        <w:t>Experiments</w:t>
      </w:r>
    </w:p>
    <w:p>
      <w:r>
        <w:t>Datasets: DG REGIO project-level flows for ERDF, ESF, CF, EAFRD (2000–2019) with geocodes and project attributes; harmonized NUTS2 panel of regional accounts (GDP, value added by sector, employment, hours); population grid (for weighting); ORBIS/Amadeus firm-level samples where available; commuting-zone / labour-market area mappings. Baselines: (A) TWFE DiD with region and year fixed effects, (B) Sun &amp; Abraham cohort event-study (cohort-specific dynamics), (C) Spatial Durbin Model (SDM) without IV, (D) SDM with spatial-IV/system-GMM, (E) Synthetic control for select treated regions. Outcome and derived inputs: regional TFP computed as Solow residuals using PIM capital (depreciation grid δ = 3%,5%,7%) and hours-adjusted labor; alternative outcomes: Malmquist index and firm-level LP/OP. Exposure construction: project footprints by type (buffers or polygons), population-weighted overlap aggregated to NUTS2, cumulative doses with 3- and 7-year rolling sums, normalized per capita and per employed person. Primary estimator: Callaway &amp; Sant’Anna continuous-dose ATT with exposure lag structures (lags = 0,1,3 years); clustering at country level; covariates include pre-treatment sector shares and trends. IV setup: first stage instruments = predicted-allocation share (functional form: linear prediction from pre-treatment covariates), eligibility dummy around 75% GDPpc, and project-approval timing (lagged); report first-stage F, Kleibergen–Paap, Cragg–Donald, Hansen J. Spatial endogeneity: instrument spatial lags with spatial lags of predetermined covariates and neighbors’ predicted allocations; estimate SDM via system-GMM with collapsed instruments and compare to LIML spatial-IV. Evaluation metrics: ATT (percent TFP change) with bootstrap CIs; first-stage strength metrics; Hansen J p-values; placebo pre-treatment ATT and RMSE; spillover decay parameter and its CI; Monte Carlo calibrated MDE and power curves under observed spatial rho. Ablations and robustness: (1) remove IVs (reduced-form), (2) omit spatial spillovers, (3) alternative W matrices (50 km, 200 km, Queen contiguity, k-NN), (4) alternative TFP measures (Malmquist, firm-level), (5) alternative exposure normalizations (per capita vs per employed). Additional experiment: Monte Carlo simulations calibrated to the panel, spatial autocorrelation, and instrument counts to evaluate finite-sample bias and determine switch thresholds for LIML/GMM.</w:t>
      </w:r>
    </w:p>
    <w:p>
      <w:r>
        <w:t xml:space="preserve"> </w:t>
      </w:r>
    </w:p>
    <w:p>
      <w:pPr>
        <w:pStyle w:val="Heading2"/>
      </w:pPr>
      <w:r>
        <w:t>Risk Factors And Limitations</w:t>
      </w:r>
    </w:p>
    <w:p>
      <w:r>
        <w:t>IV exclusion restriction failures: instruments (predicted-allocation, eligibility, approval timing) may affect outcomes through channels other than funding. Project-approval timing endogeneity: approval lags may correlate with local political shocks. Measurement error: inaccurate geocodes, missing project polygons, or mismeasured capital stocks will attenuate estimates. Data gaps: limited firm-level coverage (ORBIS) and inconsistent national registries reduce validation samples. Weak instruments and instrument proliferation: many instruments can produce weak or biased GMM estimates in finite samples. Interference beyond modeled bands: long-range or sectoral spillovers may violate partial-interference assumptions. Cross-border treatment: non-EU neighbors and asymmetric border effects complicate W matrix design. Multiple testing: many heterogeneous subgroup tests inflate false discovery risk. Computational scale: geospatial joins, bootstraps, and system-GMM are compute intensive and may require substantial resources. External validity: results may not generalize beyond 2000–2019 or to later program designs.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