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ghana_mfi_sustainability</w:t>
      </w:r>
    </w:p>
    <w:p>
      <w:r>
        <w:t xml:space="preserve"> </w:t>
      </w:r>
    </w:p>
    <w:p>
      <w:pPr>
        <w:pStyle w:val="Heading2"/>
      </w:pPr>
      <w:r>
        <w:t>Title</w:t>
      </w:r>
    </w:p>
    <w:p>
      <w:r>
        <w:t>Multivariate panel analysis of institutional and outreach determinants of microfinance financial sustainability and poverty alleviation in Ghana</w:t>
      </w:r>
    </w:p>
    <w:p>
      <w:r>
        <w:t xml:space="preserve"> </w:t>
      </w:r>
    </w:p>
    <w:p>
      <w:pPr>
        <w:pStyle w:val="Heading2"/>
      </w:pPr>
      <w:r>
        <w:t>Short Hypothesis</w:t>
      </w:r>
    </w:p>
    <w:p>
      <w:r>
        <w:t>Improvements in microfinance institution (MFI) institutional and outreach characteristics (greater depth/breadth of outreach, lower cost per borrower, higher operational self-sufficiency, and stronger capital structure) cause higher MFI financial viability and lead to increased financial depth and reductions in household poverty in served areas.</w:t>
      </w:r>
    </w:p>
    <w:p>
      <w:r>
        <w:t xml:space="preserve"> </w:t>
      </w:r>
    </w:p>
    <w:p>
      <w:pPr>
        <w:pStyle w:val="Heading2"/>
      </w:pPr>
      <w:r>
        <w:t>Related Work</w:t>
      </w:r>
    </w:p>
    <w:p>
      <w:r>
        <w:t>Prior work evaluates microfinance impacts using randomized trials, quasi-experiments, and cross-sectional regressions, and has applied mixed-methods and machine-learning for heterogeneity. Limitations of existing approaches include short follow-up windows (limiting long-run inference), small or localized samples (limiting generalizability), inconsistent harmonization of MFI financial metrics across institutions, weak mediation analysis for timing of investment versus consumption effects, and insufficient small-cluster inference methods when clusters are few. Administrative linkage between MFI transactions and household outcomes is often incomplete, creating selection and measurement bias. Work using ML for CATE (conditional average treatment effects) often lacks cluster-aware sample-splitting rules, which can inflate false discoveries in clustered settings.</w:t>
      </w:r>
    </w:p>
    <w:p>
      <w:r>
        <w:t xml:space="preserve"> </w:t>
      </w:r>
    </w:p>
    <w:p>
      <w:pPr>
        <w:pStyle w:val="Heading2"/>
      </w:pPr>
      <w:r>
        <w:t>Abstract</w:t>
      </w:r>
    </w:p>
    <w:p>
      <w:r>
        <w:t>This study examines which institutional and outreach factors of Ghanaian microfinance institutions (MFIs) are associated with MFI financial viability and whether those factors relate to greater financial deepening and poverty reduction. We use panel administrative data from Mix Market covering 11 Ghanaian MFIs from 2000 to 2019 and combine multivariate panel regression, mediation analysis, and machine-learning heterogeneity methods. Main contributions are (1) harmonized operationalization of MFI sustainability metrics (e.g., PAR30, operational self-sufficiency, provisioning coverage) and outreach measures (depth and breadth), (2) sequential mediation analysis to separate direct MFI performance effects from household investment channels, and (3) cluster-aware CATE discovery (causal forests with cluster splits) to identify client- and location-level heterogeneity. Expected outcomes are a ranked set of institutional attributes linked to financial viability, quantified mediation paths to household poverty outcomes, and robust heterogeneity maps to guide policy on scalable MFI practices in Ghana.</w:t>
      </w:r>
    </w:p>
    <w:p>
      <w:r>
        <w:t xml:space="preserve"> </w:t>
      </w:r>
    </w:p>
    <w:p>
      <w:pPr>
        <w:pStyle w:val="Heading2"/>
      </w:pPr>
      <w:r>
        <w:t>Experiments</w:t>
      </w:r>
    </w:p>
    <w:p>
      <w:r>
        <w:t>Datasets: Mix Market panel for 11 Ghanaian MFIs (2000–2019) with quarterly/annual financials and outreach; Ghana Living Standards Survey waves overlapping 2000–2019 for household poverty metrics; MFI-linked household client records where available; constructed variables: PAR30 (portfolio at risk &gt;30 days), OSS (operational self-sufficiency: operational revenue / (financial expense + provisioning + operating expense) ×100), provision coverage, loan size, cost per borrower, depth/breadth of outreach (mean loan relative to local median and client count share). Baselines: (A) pooled OLS, (B) MFI fixed-effects panel regression with time dummies, (C) difference-in-differences where staggered adoption exists, (D) IV/2SLS if credible instruments (e.g., policy-driven branch openings, exogenous funding shocks) are available. Mediation: sequential g-estimation (sequential g-estimation: method that estimates direct and indirect effects when mediator varies over time) using time-stamped transaction mediators (investment, savings uptake). Heterogeneity: causal forests and BART with cluster-aware sample-splitting (folds grouped by MFI or branch), holdout ≥30% clusters for confirmatory testing. Inference and robustness: compare randomization-inference style permutation tests (cluster-level permutation), wild cluster bootstrap-t, and cluster-robust SEs. Evaluation metrics: MFI-level: OSS, PAR30, provisioning coverage, financial self-sufficiency (FSS); household-level: per-capita consumption, poverty headcount, multidimensional poverty components, over-indebtedness (debt-service-to-income &gt;40% or ≥2 lenders with arrears &gt;30 days). Ablation studies: (1) compare mediation estimates with and without administrative linkage to test sensitivity to linkage loss; (2) compare ML CATE results when using cluster-aware splitting versus naive splitting; (3) compare IV vs FE estimates to assess endogeneity bias. Reporting: coefficient estimates with cluster-robust CIs, mediation direct/indirect effect estimates, ML-derived subgroup average effects re-tested in holdout clusters.</w:t>
      </w:r>
    </w:p>
    <w:p>
      <w:r>
        <w:t xml:space="preserve"> </w:t>
      </w:r>
    </w:p>
    <w:p>
      <w:pPr>
        <w:pStyle w:val="Heading2"/>
      </w:pPr>
      <w:r>
        <w:t>Risk Factors And Limitations</w:t>
      </w:r>
    </w:p>
    <w:p>
      <w:r>
        <w:t>Small sample of MFIs (11 institutions) limits statistical power and external validity beyond Ghana and may bias estimates if a few MFIs drive results. Administrative data quality: missing, inconsistent or incorrectly reported Mix Market fields can cause measurement error in key metrics (PAR30, provisioning, loan sizes). Linkage shortfalls: inability to match household-level outcomes to MFI transactions reduces mediation identification and may induce selection bias. Endogeneity: institutional features may be endogenous (e.g., healthier MFIs both perform better and choose different outreach), limiting causal claims without strong instruments. Small-cluster inference: few clusters or uneven cluster sizes make standard inference unreliable. Spillovers: geographic or network spillovers between treated and control areas can bias area-level estimates. Generalization: results may not transfer to MFIs with different regulatory environments or to periods after 2019. No mitigation steps are included in this section.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