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mpu_bank_stock_nigeria</w:t>
      </w:r>
    </w:p>
    <w:p>
      <w:r>
        <w:t xml:space="preserve"> </w:t>
      </w:r>
    </w:p>
    <w:p>
      <w:pPr>
        <w:pStyle w:val="Heading2"/>
      </w:pPr>
      <w:r>
        <w:t>Title</w:t>
      </w:r>
    </w:p>
    <w:p>
      <w:r>
        <w:t>Linear and nonlinear autoregressive distributed lag analysis of bank and stock market development under monetary policy uncertainty in Nigeria</w:t>
      </w:r>
    </w:p>
    <w:p>
      <w:r>
        <w:t xml:space="preserve"> </w:t>
      </w:r>
    </w:p>
    <w:p>
      <w:pPr>
        <w:pStyle w:val="Heading2"/>
      </w:pPr>
      <w:r>
        <w:t>Short Hypothesis</w:t>
      </w:r>
    </w:p>
    <w:p>
      <w:r>
        <w:t>Higher monetary policy uncertainty causally reduces credit to the private sector and lowers stock market capitalization in Nigeria, with larger negative effects following adverse (negative) policy surprises than positive surprises.</w:t>
      </w:r>
    </w:p>
    <w:p>
      <w:r>
        <w:t xml:space="preserve"> </w:t>
      </w:r>
    </w:p>
    <w:p>
      <w:pPr>
        <w:pStyle w:val="Heading2"/>
      </w:pPr>
      <w:r>
        <w:t>Related Work</w:t>
      </w:r>
    </w:p>
    <w:p>
      <w:r>
        <w:t>Existing studies use vector autoregressions (VAR/SVAR), narrative coding, high-frequency surprise identification, and autoregressive distributed lag (ARDL) approaches to study how monetary policy and uncertainty affect banks and stock markets. Work using high-frequency event identification improves exogeneity of shocks but often faces thin-market microstructure issues and ad-hoc event filters. ARDL and nonlinear ARDL (NARDL) approaches capture short- and long-run links and asymmetries but typically ignore measurement error in text-based MPU indices. Latent-factor state-space methods combine multiple MPU indicators but are rarely propagated into structural impulse responses. Limitations include weak instruments, frequency mismatch between quarterly bank data and monthly MPU, small-sample bias, and incomplete propagation of MPU measurement uncertainty into inference.</w:t>
      </w:r>
    </w:p>
    <w:p>
      <w:r>
        <w:t xml:space="preserve"> </w:t>
      </w:r>
    </w:p>
    <w:p>
      <w:pPr>
        <w:pStyle w:val="Heading2"/>
      </w:pPr>
      <w:r>
        <w:t>Abstract</w:t>
      </w:r>
    </w:p>
    <w:p>
      <w:r>
        <w:t>This study examines how monetary policy uncertainty (MPU) affects bank development and stock market development in Nigeria using monthly data from 1990:m1–2022:m4. We combine three MPU signals—narrative/text classifications, a market-based high-frequency surprise around central bank meetings, and model-based indicators—into a latent MPU factor estimated in a state-space model (a model that extracts a hidden common series from observed indicators). We then estimate linear ARDL and nonlinear ARDL (NARDL) models and structural VARs with three identification schemes (external instrument, sign restrictions, Cholesky) to measure impulse responses at 1, 6, and 12 months. Main contributions are: (1) pre-registered, algorithmic event-filter and microstructure rules for high-frequency instruments; (2) propagation of MPU factor uncertainty into structural inference using Monte Carlo draws; and (3) systematic comparison of MPU constructions and mixed-frequency interpolation methods. Expected outcome: credible estimates of linear and asymmetric MPU effects on credit and market capitalization that quantify uncertainty for policy use.</w:t>
      </w:r>
    </w:p>
    <w:p>
      <w:r>
        <w:t xml:space="preserve"> </w:t>
      </w:r>
    </w:p>
    <w:p>
      <w:pPr>
        <w:pStyle w:val="Heading2"/>
      </w:pPr>
      <w:r>
        <w:t>Experiments</w:t>
      </w:r>
    </w:p>
    <w:p>
      <w:r>
        <w:t>Datasets: monthly series 1990:m1–2022:m4 including credit to private sector (CPS/GDP, log), broad money M2/GDP (log), market capitalization MCAP/GDP (log), industrial production IP (index, log); MPU components: narrative-coded sentence-level dataset, transformer classifier scores aggregated monthly, and high-frequency (tick or best-bid-offer mid) yield/FX surprises around CBN MPC announcements. Quarterly bank aggregates (if present) will be disaggregated to monthly via MIDAS (mixed-frequency regression), Chow-Lin, and state-space Kalman smoothing. Baselines: (A) linear ARDL; (B) nonlinear ARDL (NARDL) decomposing MPU into positive/negative cumulative shocks; (C) SVAR identified by external instrument (HF surprise), sign restrictions, and Cholesky ordering. MPU alternatives: latent state-space factor, PCA composite, single-indicator (narrative or market surprise). Evaluation metrics: impulse response function (IRF) point estimates and 90% credible/confidence bands at horizons 1, 6, 12 months; out-of-sample RMSE and log predictive likelihood for credit growth and equity volatility; Diebold-Mariano test for forecast differences; first-stage partial R2, Kleibergen-Paap rk statistic, and F-analog for instrument strength; classifier precision/recall/F1 and Cohen's kappa for manual coding agreement. Experimental setup: select lag orders by AIC/BIC for ARDL/SVAR; use bounds test for long-run cointegration in ARDL; estimate latent factor in Bayesian state-space (NUTS sampler) and draw 1,000 posterior factor draws for sequential propagation or run joint estimation when feasible. Ablation studies: (1) MPU construction ablation: compare latent vs PCA vs single indicator; (2) identification ablation: external-instrument vs sign-restrictions vs Cholesky; (3) interpolation ablation: MIDAS vs Chow-Lin vs Kalman; (4) estimation ablation: joint Bayesian vs sequential propagation. Additional experiments: weak-instrument scenarios using LIML/CLR inference and power simulations over first-stage R2 in {0.01,0.03,0.08,0.15}. Report all seeds, software versions, and a small pilot run (HF-VAR aggregation and one Bayesian short run) as reproducibility check.</w:t>
      </w:r>
    </w:p>
    <w:p>
      <w:r>
        <w:t xml:space="preserve"> </w:t>
      </w:r>
    </w:p>
    <w:p>
      <w:pPr>
        <w:pStyle w:val="Heading2"/>
      </w:pPr>
      <w:r>
        <w:t>Risk Factors And Limitations</w:t>
      </w:r>
    </w:p>
    <w:p>
      <w:r>
        <w:t>Limited MPC frequency (~8 events per year) reduces instrument power and raises weak-instrument risk. Tick-level market data in Nigeria may be thin, produce microstructure noise (quote bounces, stale prices), or be unavailable under license, constraining HF instruments. Quarterly-to-monthly interpolation introduces imputation uncertainty that can bias results if not fully propagated. NLP classifier errors and limited labeled data can mis-measure narrative MPU; classifier biases may vary across sources and eras. Small sample size (≈180 monthly obs) increases estimation variance and sensitivity to priors and lag choice. Joint Bayesian estimation of state-space MPU and SVAR may be computationally heavy and may not converge on modest hardware. Results may not generalize to other countries with different market structure or policy regimes. Legal/licensing constraints may prevent sharing proprietary tick data in replication materials.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