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halal_supplychain_operational_mediation</w:t>
      </w:r>
    </w:p>
    <w:p>
      <w:r>
        <w:t xml:space="preserve"> </w:t>
      </w:r>
    </w:p>
    <w:p>
      <w:pPr>
        <w:pStyle w:val="Heading2"/>
      </w:pPr>
      <w:r>
        <w:t>Title</w:t>
      </w:r>
    </w:p>
    <w:p>
      <w:r>
        <w:t>Operational efficiency mediates the effect of halal supply chain management on sustainability outcomes in culinary MSMEs: a structural equation modeling and life-cycle assessment study</w:t>
      </w:r>
    </w:p>
    <w:p>
      <w:r>
        <w:t xml:space="preserve"> </w:t>
      </w:r>
    </w:p>
    <w:p>
      <w:pPr>
        <w:pStyle w:val="Heading2"/>
      </w:pPr>
      <w:r>
        <w:t>Short Hypothesis</w:t>
      </w:r>
    </w:p>
    <w:p>
      <w:r>
        <w:t>In culinary micro, small, and medium enterprises (MSMEs), higher implementation of halal supply chain management practices causes improved sustainability performance, and this causal effect is mediated by increased operational efficiency.</w:t>
      </w:r>
    </w:p>
    <w:p>
      <w:r>
        <w:t xml:space="preserve"> </w:t>
      </w:r>
    </w:p>
    <w:p>
      <w:pPr>
        <w:pStyle w:val="Heading2"/>
      </w:pPr>
      <w:r>
        <w:t>Related Work</w:t>
      </w:r>
    </w:p>
    <w:p>
      <w:r>
        <w:t>Existing work spans three streams. First, halal supply chain studies emphasize certification, traceability, and food-safety compliance; they document processes for segregation, certification, and audit but rarely quantify environmental outcomes. Second, supply-chain sustainability research and life-cycle assessment (LCA) compare sourcing and logistics impacts (e.g., CO2e/kg) and evaluate traceability technologies, but most studies target larger firms and do not measure halal-specific constraints. Third, operations research literature shows that improved operational efficiency (reduced verification time, less waste, higher throughput) reduces costs and emissions, yet these studies seldom test operational efficiency as a mediator between governance practices and sustainability. Limitations across prior work include small or non-representative samples, lack of mediation testing, inconsistent contamination-detection validation (ATP/ELISA thresholds vary), weak integration of LCA with shop-floor data, and scarce empirical evidence from culinary MSMEs. There is also limited reporting of statistical power under clustering and few studies combining SEM (structural equation modeling) with batch-level LCA and confirmatory lab assays.</w:t>
      </w:r>
    </w:p>
    <w:p>
      <w:r>
        <w:t xml:space="preserve"> </w:t>
      </w:r>
    </w:p>
    <w:p>
      <w:pPr>
        <w:pStyle w:val="Heading2"/>
      </w:pPr>
      <w:r>
        <w:t>Abstract</w:t>
      </w:r>
    </w:p>
    <w:p>
      <w:r>
        <w:t>This study tests whether halal supply chain management improves sustainability in culinary MSMEs through a measurable operational-efficiency pathway. We combine a cross-sectional survey of culinary MSMEs with a pilot of batch-level operational data and lab-confirmed contamination testing. We apply structural equation modeling (SEM) to estimate direct and indirect (mediated) effects of halal supply chain practices on sustainability outcomes, and we run life-cycle assessment (LCA) Monte Carlo simulations to quantify carbon intensity (CO2e/kg). Main contributions are (1) a quantified mediation test linking halal practices to environmental performance via operational efficiency, (2) calibrated shop-floor thresholds and lab validation protocols for contamination proxies, and (3) reproducible analytical templates (SEM, LCA, and power sensitivity across clustering). Expected outcomes are clear estimates of mediated effect sizes, model fit statistics, LCA uncertainty ranges, and operational targets usable for pilot go/no-go decisions.</w:t>
      </w:r>
    </w:p>
    <w:p>
      <w:r>
        <w:t xml:space="preserve"> </w:t>
      </w:r>
    </w:p>
    <w:p>
      <w:pPr>
        <w:pStyle w:val="Heading2"/>
      </w:pPr>
      <w:r>
        <w:t>Experiments</w:t>
      </w:r>
    </w:p>
    <w:p>
      <w:r>
        <w:t>Datasets: 1) Cross-sectional questionnaire of 336 culinary MSMEs measuring: halal supply-chain management (certification presence, supplier auditing, segregation, traceability events), operational efficiency (median time-to-verify in hours, throughput kg/day, waste kg/day, corrective-clean triggers), and sustainability outcomes (self-reported energy use, waste, and proxy CO2e/kg). 2) Pilot operational dataset: batch-level observations (target 300 batches; recommend increase suppliers to 6–10 if ICC&gt;0.02) with ~1,200 custody events and ~1,500 swab records. 3) Lab dataset: blinded confirmatory assays with ELISA and porcine mtDNA qPCR LOD/LOQ series and culture APC counts. 4) LCA foreground data mapped to ecoinvent v3.8 and Agri-footprint unit processes. Baselines: (A) SEM with only direct path (halal SCM -&gt; sustainability), (B) SEM with operational efficiency as mediator, (C) OLS/multilevel regression of sustainability on halal SCM and covariates, (D) alternative mediator model (traceability-only). Evaluation metrics: standardized SEM path coefficients, bootstrapped indirect effect (5000 draws) and p-value, SEM fit indices (RMSEA, CFI, SRMR), R2 for endogenous variables, AIC/BIC, Cohen's d for mean differences, CO2e/kg mean and 95% CI from Monte Carlo LCA (&gt;=1000 iterations), cross-contamination rate difference with exact 95% CI, ATP ROC AUC, sensitivity, specificity, PPV/NPV for ATP vs confirmatory tests. Experimental setup: preregister primary endpoint = median time-to-verify; specify mixed-effects SEM with supplier random intercepts (to handle clustering) and cluster-robust standard errors. Run ICC sensitivity grid (icc = 0.02, 0.05, 0.10, 0.20) and publish power tables and Monte Carlo power simulations for non-normal endpoints. ATP threshold calibration: blinded panel with at least 200 swabs per surface type to estimate ROC and select site-specific RLUs. Lab validation: spiking series (serial dilutions) to estimate LOD/LOQ for qPCR and ELISA; report time-to-result distribution under real transport times. Ablations and robustness: 1) remove mediator (compare direct effect), 2) replace mediator with alternate operational metrics (waste or throughput), 3) quantile regression for median endpoint (non-normal), 4) multiple imputation for missing data, 5) sensitivity of LCA results to allocation method (mass vs economic) and LUC handling. Software: R (lavaan for SEM), mixed-effects via lme4 or nlme, openLCA or SimaPro for LCA, Python/R scripts for Monte Carlo and power sims. All scripts, synthetic data, and model code to be published.</w:t>
      </w:r>
    </w:p>
    <w:p>
      <w:r>
        <w:t xml:space="preserve"> </w:t>
      </w:r>
    </w:p>
    <w:p>
      <w:pPr>
        <w:pStyle w:val="Heading2"/>
      </w:pPr>
      <w:r>
        <w:t>Risk Factors And Limitations</w:t>
      </w:r>
    </w:p>
    <w:p>
      <w:r>
        <w:t>1) Causal inference: cross-sectional design limits causal claims; mediation results are associational without experimental randomization. 2) Clustering and power: high intraclass correlation (ICC) within suppliers reduces effective sample size; recommended supplier count may be insufficient under high ICC. 3) Measurement error: ATP readings produce false positives/negatives; luminometer model and swab type variability can bias contamination proxies. 4) Lab assay uncertainty: qPCR/ELISA LOD/LOQ and specificity vs near-neighbour sequences require in-house validation; inhibition or sample degradation during transport may change results. 5) LCA data gaps: missing foreground data or reliance on generic database processes can inflate LCA uncertainty for CO2e/kg. 6) Generalizability: findings from a regional MSME sample may not generalize to other countries, cuisines, or larger firms. 7) Operational constraints: lab capacity, IRB delays, and supplier cooperation may reduce sample completeness and timely turnaround. 8) Privacy and linkage limits: privacy-preserving linkage may prevent exact ties between consumer transactions and batch-level data, limiting some analyses. 9) Computational limits: Monte Carlo LCA and bootstrapped SEM with clustering can be resource intensive for low-power hardware. 10) Outcome rarity: cross-contamination events are low-frequency, so detecting modest relative reductions may be infeasible in pilot-scale samples.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