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modified_var_moea_idx</w:t>
      </w:r>
    </w:p>
    <w:p>
      <w:r>
        <w:t xml:space="preserve"> </w:t>
      </w:r>
    </w:p>
    <w:p>
      <w:pPr>
        <w:pStyle w:val="Heading2"/>
      </w:pPr>
      <w:r>
        <w:t>Title</w:t>
      </w:r>
    </w:p>
    <w:p>
      <w:r>
        <w:t>Modified statistical value-at-risk with skewness and kurtosis integrated into multi-objective optimization for Indonesian stock portfolio construction</w:t>
      </w:r>
    </w:p>
    <w:p>
      <w:r>
        <w:t xml:space="preserve"> </w:t>
      </w:r>
    </w:p>
    <w:p>
      <w:pPr>
        <w:pStyle w:val="Heading2"/>
      </w:pPr>
      <w:r>
        <w:t>Short Hypothesis</w:t>
      </w:r>
    </w:p>
    <w:p>
      <w:r>
        <w:t>Using a modified VaR that corrects for skewness and kurtosis and a hybrid fusion of skewed‑t GARCH, EVT and filtered historical simulation as a risk objective inside a multi-objective optimizer yields portfolios on Indonesian blue‑chip stocks with statistically higher VaR coverage and at least 5% lower tick-loss and 3% lower expected shortfall versus portfolios built with standard GARCH‑t VaR.</w:t>
      </w:r>
    </w:p>
    <w:p>
      <w:r>
        <w:t xml:space="preserve"> </w:t>
      </w:r>
    </w:p>
    <w:p>
      <w:pPr>
        <w:pStyle w:val="Heading2"/>
      </w:pPr>
      <w:r>
        <w:t>Related Work</w:t>
      </w:r>
    </w:p>
    <w:p>
      <w:r>
        <w:t>Existing approaches estimate portfolio tail risk using parametric VaR (normal or Student-t assumptions), GARCH for volatility dynamics, extreme value theory (EVT) for tails, or filtered historical simulation (FHS) for body-of-distribution behavior. Some works blend models (hybrid VaR) but often assume normality or symmetric tails, or they weight components ad hoc. Multi-objective evolutionary algorithms (MOEAs) have been used to trade off return, variance and turnover, but rarely with EVT-informed or skew/kurtosis-aware VaR as an explicit objective. Key limitations: parametric VaR can be biased under skewness/kurtosis; EVT needs many tail events and suffers small-sample instability; dependence modeling across assets is often weakly specified for joint tails; uncertainty propagation into optimization is limited; and automated, pre-registered switching rules and small-sample priors are often missing. These gaps reduce reliability in emerging markets like Indonesia with non-normal returns and limited tail data.</w:t>
      </w:r>
    </w:p>
    <w:p>
      <w:r>
        <w:t xml:space="preserve"> </w:t>
      </w:r>
    </w:p>
    <w:p>
      <w:pPr>
        <w:pStyle w:val="Heading2"/>
      </w:pPr>
      <w:r>
        <w:t>Abstract</w:t>
      </w:r>
    </w:p>
    <w:p>
      <w:r>
        <w:t>We address portfolio construction for Indonesian equities when daily returns are non-normal and exhibit skewness, kurtosis and heavy tails. We propose a modified statistical VaR that adjusts the parametric quantile for skewness and kurtosis and fuse three components daily: skewed‑t GARCH parametric quantiles for dynamics, EVT (POT/GPD) for tail extrapolation on filtered residuals, and filtered historical simulation for the body. Component weights are data‑driven via rolling predictive scores. The hybrid VaR is embedded as a primary risk objective in a multi-objective evolutionary optimizer alongside expected return, turnover and higher-moment regularizers, and investor choices are mapped by pre-specified CRRA utilities. Validation uses nested time-series cross-validation and bootstrap ensembles to propagate parameter uncertainty. The main contribution is an end-to-end, pre-registered pipeline that removes normality assumptions, integrates small-sample priors for EVT, and produces adjustable, risk‑averse portfolios for Indonesian blue‑chip stocks. We expect improved empirical tail control (VaR coverage, ES) and economically meaningful reductions in forecast loss versus standard VaR baselines.</w:t>
      </w:r>
    </w:p>
    <w:p>
      <w:r>
        <w:t xml:space="preserve"> </w:t>
      </w:r>
    </w:p>
    <w:p>
      <w:pPr>
        <w:pStyle w:val="Heading2"/>
      </w:pPr>
      <w:r>
        <w:t>Experiments</w:t>
      </w:r>
    </w:p>
    <w:p>
      <w:r>
        <w:t>Datasets: daily adjusted prices for a pilot set of 5–10 liquid IDX blue‑chip stocks and a full set of 30–50 large-cap IDX stocks; require minimum 1,500 historical trading days where available; include volume and ADV (average daily volume) for liquidity measures. Baselines: (A) parametric VaR with normal innovations, (B) GARCH‑t VaR (Student‑t innovations), (C) EVT‑only POT/GPD on raw returns, (D) filtered historical simulation (FHS) only, (E) hybrid VaR without skew/kurtosis correction, and (F) MOEA using standard variance objective (mean‑variance NSGA‑II). Evaluation metrics: VaR coverage (Kupiec unconditional coverage p-value), Christoffersen conditional coverage p-value, dynamic quantile test, tick‑loss (quantile loss), expected shortfall (ES), ES bias (%), mean return, Sharpe ratio, turnover, transaction‑cost‑adjusted return, Pareto hypervolume, weight stability (Spearman rank correlation of weights across windows), and wall‑clock compute time. Experimental setup: nested time‑series CV with outer rolling training window W_out=1000 days and 1‑day forecast horizon rolled forward; inner blocked CV with 5 contiguous folds of 200 days for hyperparameter tuning; bootstrap B=1000 resamples (block bootstrap with adaptive block length via Politis–White rule); posterior draws M=2000 for Bayesian pooled EVT where applicable; lambda grid λ∈{0.5,1,2} and scoring horizons {60,120,250} tested. MOEA settings: NSGA‑II baseline, population ∈{100,250,500}, generations up to 1000, termination by hypervolume delta &lt;1e-4 sustained 20 gens. Ablations and comparisons: (1) remove skew/kurtosis correction to test contribution of moment correction; (2) drop EVT component to quantify tail extrapolation value; (3) disable hierarchical pooling to test small‑sample priors; (4) run MOEA with nominal risk (no uncertainty propagation) vs robust MOEA (ellipsoidal uncertainty sets from bootstrap ensembles). Acceptance criteria: require tick‑loss reduction ≥5% and ES improvement ≥3% over best baseline for operational claim. Statistical reporting: report p-values, 95% bootstrap CIs, and power estimates from MC calibration of switching thresholds.</w:t>
      </w:r>
    </w:p>
    <w:p>
      <w:r>
        <w:t xml:space="preserve"> </w:t>
      </w:r>
    </w:p>
    <w:p>
      <w:pPr>
        <w:pStyle w:val="Heading2"/>
      </w:pPr>
      <w:r>
        <w:t>Risk Factors And Limitations</w:t>
      </w:r>
    </w:p>
    <w:p>
      <w:r>
        <w:t>Data sparsity and small tails: EVT needs many tail exceedances; IDX may have limited joint co‑exceedances causing unstable tail estimates (small-sample bias). Non-stationarity and regime shifts: historical regimes (crisis vs calm) can invalidate parameter pooling and degrade out-of-sample performance. Dependence model risk: copula or factor approximations may mis-specify joint extremes, producing under- or over-estimated portfolio tail risk. Transaction cost and liquidity uncertainty: poorly estimated impact terms (square‑root impact) for thinly traded names can reverse gains after costs. Computational cost and scalability: bootstrap ensembles plus MOEA evaluations are compute‑heavy and may require cluster/GPU resources; runtime limits may force approximations that change results. Overfitting and selection bias: many hyperparameters and fallback rules risk post-hoc tuning; strictly pre-registered rules are required. Limited generalization: methodology tuned on IDX may not transfer to other markets with different microstructure. Logging and audit gaps: incomplete metadata (seeds, container hashes, exact priors) would hurt reproducibility and raise interpretability concerns.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