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optimal_nisbah_mm</w:t>
      </w:r>
    </w:p>
    <w:p>
      <w:r>
        <w:t xml:space="preserve"> </w:t>
      </w:r>
    </w:p>
    <w:p>
      <w:pPr>
        <w:pStyle w:val="Heading2"/>
      </w:pPr>
      <w:r>
        <w:t>Title</w:t>
      </w:r>
    </w:p>
    <w:p>
      <w:r>
        <w:t>Determining an optimal constant profit-sharing nisbah for musharakah mutanaqisah Islamic mortgages using income modeled as geometric Brownian motion and welfare maximization</w:t>
      </w:r>
    </w:p>
    <w:p>
      <w:r>
        <w:t xml:space="preserve"> </w:t>
      </w:r>
    </w:p>
    <w:p>
      <w:pPr>
        <w:pStyle w:val="Heading2"/>
      </w:pPr>
      <w:r>
        <w:t>Short Hypothesis</w:t>
      </w:r>
    </w:p>
    <w:p>
      <w:r>
        <w:t>A constant profit-sharing nisbah chosen to maximize a welfare objective that balances borrower utility and bank expected profit, subject to Sharia hard constraints, yields lower expected credit losses (ECL) and system CVaR_99 than standard fixed-interest-equivalent pricing or naively chosen nisbahs.</w:t>
      </w:r>
    </w:p>
    <w:p>
      <w:r>
        <w:t xml:space="preserve"> </w:t>
      </w:r>
    </w:p>
    <w:p>
      <w:pPr>
        <w:pStyle w:val="Heading2"/>
      </w:pPr>
      <w:r>
        <w:t>Related Work</w:t>
      </w:r>
    </w:p>
    <w:p>
      <w:r>
        <w:t>Existing work falls into three strands: conventional mortgage credit-risk and pricing models, Islamic finance contract design, and applied causal evaluation of contract changes. Conventional mortgage models use structural dynamics for house prices and borrower income to estimate default risk; they often assume interest-based pricing and map losses to capital buffers. Islamic finance literature describes profit-sharing contracts (musharakah, diminishing partnership) and offers static pricing heuristics, but rarely provides dynamic stochastic optimization or empirical pilot designs. Empirical studies of Islamic mortgages are limited and typically descriptive, lacking randomized or well-instrumented causal designs. Previous causal methods applied to pricing change use difference-in-differences or IVs but face selection and anticipation threats. Gaps: (1) few models integrate Sharia hard constraints (no guaranteed returns, pro-rata loss sharing, market-priced buyouts) into dynamic control; (2) limited use of stochastic income models like geometric Brownian motion (GBM) for borrower cashflow in nisbah optimization; (3) weak identification strategies and small-sample pilot guidance for nisbah policy evaluation.</w:t>
      </w:r>
    </w:p>
    <w:p>
      <w:r>
        <w:t xml:space="preserve"> </w:t>
      </w:r>
    </w:p>
    <w:p>
      <w:pPr>
        <w:pStyle w:val="Heading2"/>
      </w:pPr>
      <w:r>
        <w:t>Abstract</w:t>
      </w:r>
    </w:p>
    <w:p>
      <w:r>
        <w:t>We address the problem of selecting a fair and robust constant profit-sharing nisbah (ratio) for Islamic home finance under the musharakah mutanaqisah contract. We model borrower income as a geometric Brownian motion (GBM) — a standard continuous-time process with drift and volatility — and model property values and buyout events stochastically. We formulate a welfare objective that combines expected borrower utility, expected bank profit, and a convex systemic risk penalty (for example CVaR_99 of bank losses). The optimization chooses a constant nisbah in [0,1] subject to encoded Sharia hard constraints (no guaranteed returns, pro‑rata loss sharing, market-based buyouts, capped wakala fees). The main contribution is a reproducible pipeline that (a) solves the control problem via discrete dynamic programming and Monte Carlo simulation, (b) evaluates candidate nisbahs on simulated and pilot loan data, and (c) provides power and identification diagnostics for causal pilot evaluation. Expected outcome: a numerically calibrated, Sharia‑compliant nisbah recommendation and a pre-registered experimental protocol for pilot testing.</w:t>
      </w:r>
    </w:p>
    <w:p>
      <w:r>
        <w:t xml:space="preserve"> </w:t>
      </w:r>
    </w:p>
    <w:p>
      <w:pPr>
        <w:pStyle w:val="Heading2"/>
      </w:pPr>
      <w:r>
        <w:t>Experiments</w:t>
      </w:r>
    </w:p>
    <w:p>
      <w:r>
        <w:t>Datasets: (1) historical loan tape with contract terms, dynamic nisbahs (if any), payments, buyouts, wakala fees; (2) credit bureau time series (delinquencies); (3) property registry or HPI series with timestamps; (4) household income/consumption microdata for calibration; (5) synthetic datasets produced via SDV/CTGAN with differential privacy parameters for reproducibility. Simulation stage: calibrate GBM parameters for income y_t: dy_t = μ_y y_t dt + σ_y y_t dW_t with σ_y ∈ {0.1,0.2,0.3} annualized; calibrate property-value GBM V_t similarly with σ_V ∈ {0.05,0.10,0.20}. For each candidate constant nisbah θ ∈ grid {0.0,0.05,...,0.95,1.0}: run N = 100,000 Monte Carlo paths over contract horizon T (monthly steps) to compute paths of payments, distributable profit π_t, bank receipts θ·π_t, borrower cashflow and equity E_t, buyout events priced at MarketVal(t), defaults with hazard λ_t = λ0 + λ1·max(0,LTV_t−τ)+λ2·arrears. Compute metrics: PD (probability of default), LGD, ECL (expected credit loss), CVaR_99 of bank losses (tail risk), average borrower CRRA utility U_c (CRRA parameter γ ∈ {2,4,6}), and welfare W = w1 E[U_c] + w2 E[Π_bank] − w3 CVaR_99. Optimization: pick θ* maximizing W subject to θ∈[0,1] and Sharia feasibility. Control comparison baselines: (A) conventional interest-equivalent fixed-rate pricing (convert to cashflows), (B) fixed-θ naive choice (median industry value), (C) linear decay θ(t)=max(0,θ0−α t) calibrated to match average θ receipts, (D) state‑contingent rule θ=g(LTV,V,arrears) solved by MPC. Ablation studies: remove Sharia constraints to quantify impact, vary σ_y and σ_V to test sensitivity, restrict sample sizes to pilot-scale (2k,5k,10k loans) to assess estimator variance. Empirical pilot evaluation: design staggered rollout across branches with random assignment where feasible; estimate causal effect of assigned constant θ using two-stage least squares (2SLS) with instrument = randomized assignment timing. Pre-specify first-stage diagnostics: partial R², Staiger–Stock F-stat, Kleibergen–Paap rk; report clustered standard errors by branch/region. Overidentification and weak-instrument checks: Hansen J (if &gt;1 instrument), Anderson–Rubin CIs, and AR-based robust CIs. Sensitivity analyses: Conley plausibly-exogenous bounds, bias-adjusted bounds, and Oster-style selection bounds. Power calculations: example baseline PD=5% detect Δ=1pp requires ~8k–12k loans per arm; Δ=2pp needs ~2k–3k per arm after adjusting for ICC. Reproducibility: release notebooks, container, and synthetic data with DP parameters and seeds.</w:t>
      </w:r>
    </w:p>
    <w:p>
      <w:r>
        <w:t xml:space="preserve"> </w:t>
      </w:r>
    </w:p>
    <w:p>
      <w:pPr>
        <w:pStyle w:val="Heading2"/>
      </w:pPr>
      <w:r>
        <w:t>Risk Factors And Limitations</w:t>
      </w:r>
    </w:p>
    <w:p>
      <w:r>
        <w:t>Data access and quality: loan tapes, buyout records, wakala fees, and household incomes may be missing or inconsistent; measurement error in market valuations and payment histories can bias results. Model misspecification: GBM for income or property may not fit heavy tails or jumps; excluding jumps may understate tail risk. Identification risks: pilots may suffer selection bias or weak instruments (low first-stage partial R²) reducing credible causal inference. Behavioral responses: borrowers or banks may change effort or servicing when assigned nisbah, creating anticipation or moral hazard not captured by the model. Computational limits: high-dimensional state-contingent policies and large Monte Carlo runs demand significant compute and may require approximation that changes solutions. Privacy vs utility: strong differential privacy reduces synthetic data fidelity and may limit replication. Legal/regulatory constraints: jurisdictional differences in property law, tax treatment, or Sharia interpretation may prevent real-world pilots or affect external validity. Generalization: calibrated nisbah optimal in one market segment or country may not transfer to others due to different volatilities, tax rules, or consumer behavior.</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