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halal_cert_biblio_econ</w:t>
      </w:r>
    </w:p>
    <w:p>
      <w:r>
        <w:t xml:space="preserve"> </w:t>
      </w:r>
    </w:p>
    <w:p>
      <w:pPr>
        <w:pStyle w:val="Heading2"/>
      </w:pPr>
      <w:r>
        <w:t>Title</w:t>
      </w:r>
    </w:p>
    <w:p>
      <w:r>
        <w:t>Bibliometric mapping and causal evaluation of halal certification as an alternative source of economic growth across food, cosmetics, pharmaceuticals, tourism, and logistics (2003–2022)</w:t>
      </w:r>
    </w:p>
    <w:p>
      <w:r>
        <w:t xml:space="preserve"> </w:t>
      </w:r>
    </w:p>
    <w:p>
      <w:pPr>
        <w:pStyle w:val="Heading2"/>
      </w:pPr>
      <w:r>
        <w:t>Short Hypothesis</w:t>
      </w:r>
    </w:p>
    <w:p>
      <w:r>
        <w:t>Higher halal certification intensity (more valid certificates per firm/product-year) causes measurable increases in export value and firm-level productivity in affected ISIC sectors within five years of certification adoption.</w:t>
      </w:r>
    </w:p>
    <w:p>
      <w:r>
        <w:t xml:space="preserve"> </w:t>
      </w:r>
    </w:p>
    <w:p>
      <w:pPr>
        <w:pStyle w:val="Heading2"/>
      </w:pPr>
      <w:r>
        <w:t>Related Work</w:t>
      </w:r>
    </w:p>
    <w:p>
      <w:r>
        <w:t>Existing research follows two broad strands: descriptive bibliometric and topic-mapping studies that chart growth and themes in halal literature, and empirical studies that link halal certification to trade, firm performance, or market access using standard econometric tools. Descriptive work highlights trends (consumer behaviour, certification processes, ethical issues) but often omits non-English and gray literature and lacks reproducible crosswalks to trade codes (HS/ISIC). Empirical work uses cross-section comparisons, naive two-way fixed effects (TWFE) difference-in-differences, or single-case synthetic control studies. Limitations include: (1) selection bias from non-random certification timing; (2) negative-weight or bias problems in TWFE under staggered adoption; (3) weak or untested instruments and unclear exclusion arguments; (4) inconsistent or ad hoc measurement of certification intensity (binary vs intensity vs duration); (5) limited product-level mapping to HS codes and sparse coverage of certifier registries; (6) scarce integration of sociocultural qualitative evidence to explain mechanisms; and (7) lack of standardized reproducible pipelines and power/MDE calibration for staggered designs.</w:t>
      </w:r>
    </w:p>
    <w:p>
      <w:r>
        <w:t xml:space="preserve"> </w:t>
      </w:r>
    </w:p>
    <w:p>
      <w:pPr>
        <w:pStyle w:val="Heading2"/>
      </w:pPr>
      <w:r>
        <w:t>Abstract</w:t>
      </w:r>
    </w:p>
    <w:p>
      <w:r>
        <w:t>This study assesses whether halal certification functions as an alternative source of economic growth by combining a reproducible bibliometric mapping (2003–2022) with quasi-experimental causal evaluation across multiple sectors (food, cosmetics, pharmaceuticals, tourism, logistics). We build a harmonized dataset linking bibliographic clusters to firm- and product-level certification records, HS6 trade flows, and firm registries. At the bibliometric level we identify research themes and create a documented crosswalk from topic keywords to HS/ISIC codes. At the causal level we estimate treatment effects of certification intensity using modern staggered difference-in-differences estimators (Callaway &amp; Sant’Anna, Sun &amp; Abraham), PanelMatch and entropy balancing for pre-trend balance, control-function IV for selection on timing, and synthetic control/G‑synth where applicable. Main contributions: (1) an open, reproducible pipeline for measurement of certification intensity and topic-to-sector mapping; (2) a multi-estimator causal protocol with pre-registered diagnostics and calibrated power; (3) empirical bounds on export and productivity impacts. Expected outcome: actionable, policy-relevant evidence on the economic role of halal certification and transparent tools for replication.</w:t>
      </w:r>
    </w:p>
    <w:p>
      <w:r>
        <w:t xml:space="preserve"> </w:t>
      </w:r>
    </w:p>
    <w:p>
      <w:pPr>
        <w:pStyle w:val="Heading2"/>
      </w:pPr>
      <w:r>
        <w:t>Experiments</w:t>
      </w:r>
    </w:p>
    <w:p>
      <w:r>
        <w:t>Datasets: bibliographic exports from Scopus and Web of Science (2003–2022) plus Google Scholar supplement; non-English and gray literature harvest (national certifier reports, theses, policy docs); national certifier registries (JAKIM, MUI, BPJPH, MUIS and local lists); firm registries (ORBis/BvD, national company registries); GS1/product barcode data; UN Comtrade HS6 yearly trade flows; firm-level outcomes (value added, employment, exports) from national sources and ORBis. Units: certificate-event (firm-product-date), firm-year, product-HS6-year, country-year. Preprocessing: ISO-8601 dates, fuzzy match product text to HS6 (cosine similarity), deduplicate by firm+product+date, flag machine vs human translations. Baselines: (A) descriptive bibliometrics (co-authorship, keyword trends); (B) topic models (LDA) and sentence-embedding clustering (SBERT+HDBSCAN) for topics; (C) naive TWFE DiD; (D) single-unit Synthetic Control (SCM) where applicable. Main estimators: Callaway &amp; Sant’Anna and Sun &amp; Abraham staggered DiD (cohort ATT), PanelMatch matching on pre-treatment levels and slopes, entropy balancing, control-function IV (first-stage: distance to accredited lab, pre-treatment Muslim share; second-stage with firm FE), G‑synth for staggered multiple treated units. Event windows: pre-specified -5 to +5 years; require ≥3 pre-treatment periods for DiD/SCM. Evaluation metrics: bibliometrics—topic coherence (CV/UMass), cluster purity, language coverage (% non-English); mapping—precision/recall of HS6 mapping on manual validation sample (target &gt;0.9/0.85); causal—ATT and 95% CI, pre-trend p-values, ASMD balance metrics, RMSPE pre-fit for SCM, first-stage F-stat (target &gt;10), Oster delta, Rosenbaum gamma, E-values, power/MDE contours. Inference: cluster SEs at country level, wild-cluster bootstrap if clusters&lt;50, Romano-Wolf for multiple outcomes. Annotation: pilot 200 citation contexts, then 1,500 for citation-intent and 1,000 for stance; two annotators + adjudication; report Cohen’s kappa. Ablations/Comparisons: (1) include vs exclude gray and non-English literature to measure coverage sensitivity; (2) treatment definition ablation: binary (any certificate) vs intensity (certificates per 1,000 firms) vs duration-adjusted counts; (3) estimator ablation: modern staggered DiD vs naive TWFE vs SCM/G‑synth; (4) measurement-error simulation: inject timing misclassification and re-run estimators to report bias; (5) IV robustness: compare multiple instruments and run overidentification/falsification tests. Reproducibility: publish all scripts, seeds, Docker image, pre-registration of estimands and windows prior to causal runs.</w:t>
      </w:r>
    </w:p>
    <w:p>
      <w:r>
        <w:t xml:space="preserve"> </w:t>
      </w:r>
    </w:p>
    <w:p>
      <w:pPr>
        <w:pStyle w:val="Heading2"/>
      </w:pPr>
      <w:r>
        <w:t>Risk Factors And Limitations</w:t>
      </w:r>
    </w:p>
    <w:p>
      <w:r>
        <w:t>Selection bias: certification timing may be endogenous to unobserved firm shocks that also affect outcomes, limiting causal claims. Weak instruments: candidate IVs (distance, Muslim share) may have low first-stage strength, causing bias. Measurement error: incomplete or inconsistent certifier registries, mislabelled logos, and imperfect HS mapping can misclassify treatment and attenuate estimates. Limited pre-treatment data: SCM/G‑synth require long pre-periods and good donor fits; some countries/products lack sufficient pre-periods. Small cluster counts: few country-level policy changes may make clustered inference imprecise and require wild-bootstrap with low power. Language and gray literature bias: uneven coverage across languages can skew bibliometric themes. Heterogeneous effects: large variation across sectors or firm sizes may make average ATT uninformative. Privacy/DUA constraints: proprietary firm data may limit public release of detailed microdata. Computational cost: large fuzzy-matching, topic modeling, and simulation workloads require substantial compute. Annotation disagreement: human labels for citation intent/stance may have limited agreement, delaying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