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ai_investment_bibliometrics_topic_eval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Comparative evaluation of topic-modeling methods for bibliometric mapping of artificial intelligence applications in investment decision-making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Contextual embedding based topic models (BERTopic with FinBERT embeddings) produce higher human-validated coherence and greater topic stability than bag-of-words LDA and CTM on an English-language bibliographic corpus of AI-in-investment publications from 2000–2025.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bibliometric mapping of AI in finance has used bag-of-words topic models (e.g., LDA), keyword co-occurrence, and citation-network analysis to reveal trends such as algorithmic trading, portfolio optimization, and risk management. More recent work applies transformer embeddings to document clustering but often lacks rigorous, pre-registered human validation, formal stability checks, and calibrated deduplication/author-disambiguation diagnostics. Limitations include reliance on ad-hoc coherence thresholds, small or unstratified human evaluation samples, limited comparison across model families (bag-of-words vs correlated-topic vs embedding-based), weak sensitivity analyses for source mix (preprints vs peer review), and scarce reproducibility artifacts (locked seeds, container SHAs, or synthetic/redacted public datasets). These gaps reduce confidence in topic labels, obscure method-to-task mappings, and make results brittle to dedupe or citation-normalization errors.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compare topic-modeling methods for mapping research on artificial intelligence applied to investment decision-making. The study trains and evaluates LDA (bag-of-words), CTM (correlated topics), and BERTopic using FinBERT and SciBERT embeddings on an English-language corpus of scholarly records (2000–2025) from major sources (WoS, Scopus, Dimensions, Crossref, arXiv, SSRN, IEEE, ACM). Evaluation combines automated coherence metrics (c_v, NPMI, UMass), bootstrap topic-stability (ARI), and large-scale human validation using topic-intrusion and exemplar tasks with precomputed sample sizes. We will predefine numeric acceptance criteria (example pilot targets: c_v &gt; 0.45; intruder-detection accuracy &gt; 0.80; stability ARI &gt; 0.60) and report the best method per these criteria. The main contribution is a reproducible, pre-registered protocol that quantifies how embedding-based methods improve semantic interpretability and stability in bibliometric maps, plus a validated human-evaluation design and reproducibility artifacts (model seeds, container SHAs, conda-lock, RO-Crate). Expected outcome: a validated recommendation for robust topic-modeling practice when mapping AI research in investment decision-making.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English-language scholarly records 2000–2025 from Web of Science, Scopus, Dimensions, Crossref, arXiv, SSRN, IEEE Xplore, ACM DL; include peer-reviewed articles, conference papers, book chapters, SSRN/arXiv working papers. Exclude non-scientific items. Preprocessing: normalize metadata, deduplicate with exact-match threshold &gt;=0.95 and fuzzy candidate cutoff ~0.85; author disambiguation evaluated on n=500 ambiguous cases. Models to train: (A) LDA (bag-of-words), (B) CTM (correlated topic model), (C1) BERTopic with FinBERT embeddings, (C2) BERTopic with SciBERT embeddings, (D) supervised clustering baseline: fine-tuned transformer classifier producing document embeddings clustered with k-means. Hyperparameter sweep: topic counts k in {20,40,60,80,100,150}, embedding PCA/UMAP dims {50,100,200}. Evaluation metrics: automated coherence c_v, NPMI, UMass; stability: bootstrap adjusted Rand index (ARI) across 100 resamples; human metrics: topic-intrusion accuracy and exemplar-label agreement; correlation: Spearman rho between automated coherences and human scores. Human validation design: topic-intrusion and exemplar tasks on 30 highest-prevalence topics; per-topic sample size n computed by n = z^2 * p*(1-p)/d^2; examples: for unknown p use p=0.5 -&gt; n=385 for 95% CI ±0.05; for expected accuracy p=0.8 use n≈200. We will use n=200 judgments per topic (pilot) with 3 independent judges per item and majority vote; total judgments = 30 topics * 200 items * 3 judges = 18,000 judgments. Acceptance criteria (pre-registered): c_v &gt; 0.45, intruder accuracy &gt; 0.80, bootstrap ARI &gt; 0.60, and Spearman correlation rho &gt; 0.5 between c_v and human scores. Ablations: (1) BERTopic with vs without domain-adapted FinBERT, (2) remove dimensionality reduction step, (3) inject dedupe FP/FN at rates {0%,1%,5%} to measure topic drift, (4) vary number of topics. Reproducibility: fix random seeds, record container image SHA, store conda-lock, publish RO-Crate with synthetic/redacted subset if licensing prevents raw data release. Compute estimate: pilot corpus 10k–50k records; one GPU for embeddings; CPU cluster for bootstrap stability; annotate effort estimate: 18,000 judgments x 2 minutes ≈ 600 hours annotator time (pilot), cost estimate at $25/hr ≈ $15,000.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and licensing: paywalled sources may limit public release and require synthetic/redacted derivatives. Annotation cost and time: large human validation (hundreds of topics) is costly and slow. Biases: English-only corpus amplifies Anglophone dominance; citation measures favor older work (temporal bias). Dedupe/author-disambiguation errors can shift topic composition and centrality. Embedding domain mismatch: FinBERT/SciBERT may still misrepresent niche finance jargon, reducing topic quality. Stability limits: bootstrap ARI and coherence may not fully capture semantic usefulness for practitioners. Compute: embedding and bootstrap steps require GPUs and nontrivial CPU time, which may limit scalability beyond 50k records. Generalization: findings on English literature may not hold for non-English corpora or applied industry reports. Privacy: releasing structured metadata may pose re-identification risks, requiring redaction or synthetic data methods that alter distributional fidelity.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