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industry4_sustainable_manufacturing_sem</w:t>
      </w:r>
    </w:p>
    <w:p>
      <w:r>
        <w:t xml:space="preserve"> </w:t>
      </w:r>
    </w:p>
    <w:p>
      <w:pPr>
        <w:pStyle w:val="Heading2"/>
      </w:pPr>
      <w:r>
        <w:t>Title</w:t>
      </w:r>
    </w:p>
    <w:p>
      <w:r>
        <w:t>Structural equation modeling of Industry 4.0 adoption, organisational innovation, and continuous improvement effects on business sustainability in manufacturing firms in emerging economies.</w:t>
      </w:r>
    </w:p>
    <w:p>
      <w:r>
        <w:t xml:space="preserve"> </w:t>
      </w:r>
    </w:p>
    <w:p>
      <w:pPr>
        <w:pStyle w:val="Heading2"/>
      </w:pPr>
      <w:r>
        <w:t>Short Hypothesis</w:t>
      </w:r>
    </w:p>
    <w:p>
      <w:r>
        <w:t>Adoption of Industry 4.0 technologies causes an increase in business sustainability in manufacturing firms in emerging economies by amplifying the positive effects of organisational innovation and continuous improvement on energy intensity, productivity, and unit production cost.</w:t>
      </w:r>
    </w:p>
    <w:p>
      <w:r>
        <w:t xml:space="preserve"> </w:t>
      </w:r>
    </w:p>
    <w:p>
      <w:pPr>
        <w:pStyle w:val="Heading2"/>
      </w:pPr>
      <w:r>
        <w:t>Related Work</w:t>
      </w:r>
    </w:p>
    <w:p>
      <w:r>
        <w:t>Prior work shows Industry 4.0 technologies (automation, IoT, data analytics) and continuous improvement (CI) practices each improve energy efficiency and operational performance in manufacturing. Existing studies often use case studies, cross-sectional surveys, or small-panel telemetry and report associations between digitalization and lower energy use or higher productivity. Limitations in current approaches include weak causal identification (many studies are correlational), limited mediation analysis (few jointly model how organisational innovation and CI transmit digitalization gains), small or convenience samples (reducing generality), scant attention to measurement error from self-reports, and little focus on emerging-economy contexts where infrastructure and firm heterogeneity matter. Studies rarely combine a formal latent-variable framework that (1) models measurement error, (2) estimates mediation and moderation jointly, and (3) reports robustness to spillovers and instrument weakness. Spillover detection, pre-specified power tables for clustered designs, and transparent LCA linkage are commonly absent.</w:t>
      </w:r>
    </w:p>
    <w:p>
      <w:r>
        <w:t xml:space="preserve"> </w:t>
      </w:r>
    </w:p>
    <w:p>
      <w:pPr>
        <w:pStyle w:val="Heading2"/>
      </w:pPr>
      <w:r>
        <w:t>Abstract</w:t>
      </w:r>
    </w:p>
    <w:p>
      <w:r>
        <w:t>We address whether Industry 4.0 adoption improves business sustainability in manufacturing firms in emerging economies and how organisational innovation and continuous improvement (CI) mediate and interact with that effect. We propose to use structural equation modeling (SEM) — a statistical method that models relationships among measured and latent variables while accounting for measurement error — on survey data from 200 firms plus auxiliary panel telemetry where available. The main contribution is a joint mediation–moderation SEM that tests (a) whether CI and organisational innovation transmit Industry 4.0 benefits to sustainability outcomes (energy intensity, productivity, unit cost) and (b) whether Industry 4.0 adoption amplifies those transmission paths. We report model fit, standardized path coefficients, and bootstrap confidence intervals, and evaluate robustness using alternative estimators (panel DiD on telemetry, IV-SEM when encouragement/subsidy exists) and subgroup analyses by firm size and sector. Expected outcomes are precise, reproducible estimates of direct, indirect, and moderated effects and clear implications for policy and subsidy targeting in emerging-economy manufacturing.</w:t>
      </w:r>
    </w:p>
    <w:p>
      <w:r>
        <w:t xml:space="preserve"> </w:t>
      </w:r>
    </w:p>
    <w:p>
      <w:pPr>
        <w:pStyle w:val="Heading2"/>
      </w:pPr>
      <w:r>
        <w:t>Experiments</w:t>
      </w:r>
    </w:p>
    <w:p>
      <w:r>
        <w:t>Datasets: (1) Primary cross-sectional survey of N = 200 manufacturing firms in emerging economies capturing: Industry 4.0 adoption index (composite of sensors, automation, data use), organisational innovation index, continuous improvement index, and business sustainability outcomes: energy intensity (kWh/unit), productivity (units/hour or OEE), and unit production cost (local currency/unit). (2) Auxiliary panel telemetry subset (target N ≈ 60 firms, monthly readings pre/post where available: 12 months pre + 12 months post). (3) Administrative/subsidy records and supplier-network edges where available for IV and spillover tests. Baselines: (A) measurement-model SEM without moderation (mediators only), (B) SEM with Industry 4.0 as moderator on mediator→outcome paths, (C) single-equation regressions and OLS with firm controls, (D) panel staggered difference-in-differences (DiD) on telemetry subset, (E) IV-SEM using eligibility/subsidy as instrument for I4.0 where first-stage exists. Evaluation metrics: SEM global fit indices: CFI (comparative fit index), TLI (Tucker-Lewis index), RMSEA (root mean square error of approximation), SRMR (standardized root mean square residual). Effect metrics: standardized path coefficients, bootstrap (2000 resamples) 95% confidence intervals, p-values, and proportion mediated. Policy metrics: minimum detectable effect (MDE), cost-per-MDE, and payback years. Robustness and diagnostics: measurement invariance tests across firm-size groups (to check same measurement structure), multigroup SEM by sector, bootstrapped standard errors, cluster-robust SEs for firm-level clustering, overidentification and weak-instrument F-statistics for IV. Ablation studies: (1) remove Industry 4.0 moderator and compare indirect effects, (2) remove CI mediator and compare direct effects, (3) replace latent SEM constructs with observed indices, (4) simulate classical measurement error in adoption index and re-estimate with SIMEX (simulation extrapolation). Missing data and estimation: use FIML (full-information maximum likelihood) in SEM for item-missing; use MICE (20 imputations) for sensitivity checks. Pre-registration: exact model specs (latent indicators, covariates, fixed-effects), α = 0.05 threshold, and all tests and subgroup choices fixed prior to estimation.</w:t>
      </w:r>
    </w:p>
    <w:p>
      <w:r>
        <w:t xml:space="preserve"> </w:t>
      </w:r>
    </w:p>
    <w:p>
      <w:pPr>
        <w:pStyle w:val="Heading2"/>
      </w:pPr>
      <w:r>
        <w:t>Risk Factors And Limitations</w:t>
      </w:r>
    </w:p>
    <w:p>
      <w:r>
        <w:t>Measurement error and common-method bias: survey self-reports can bias constructs (latent-variable models help but do not eliminate bias). Cross-sectional survey limits causal claims; auxiliary panel DiD or IV may be available only for a subset. Sample size: N = 200 may limit power for complex multi-group SEM and small subgroup analysis; latent-variable models require adequate indicator reliability. Spillovers and interference: firms sharing suppliers or labor may contaminate control groups and bias estimates. Instrument weakness: subsidy/eligibility instruments may have weak first-stage relationships, reducing IV validity. Selection and attrition: nonrandom nonresponse or missing telemetry reduces representativeness and may bias estimates. Model misspecification: SEM assumes correct latent structure and linearity; violations (nonlinearity, omitted confounders) bias estimates. Generalization: findings in sampled emerging economies and sectors may not generalize to other countries, sectors, or firm sizes. Computational limits: bootstrap and simulation steps with complex SEM and many imputations require substantial compute and careful seed control for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