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ewom_culturalevent_image_nationalism_support_intent</w:t>
      </w:r>
    </w:p>
    <w:p>
      <w:r>
        <w:t xml:space="preserve"> </w:t>
      </w:r>
    </w:p>
    <w:p>
      <w:pPr>
        <w:pStyle w:val="Heading2"/>
      </w:pPr>
      <w:r>
        <w:t>Title</w:t>
      </w:r>
    </w:p>
    <w:p>
      <w:r>
        <w:t>Causal mediation analysis of electronic word-of-mouth, cultural events, destination image, nationalism, and government support on tourists' intention to visit Indonesia's five super-priority destinations</w:t>
      </w:r>
    </w:p>
    <w:p>
      <w:r>
        <w:t xml:space="preserve"> </w:t>
      </w:r>
    </w:p>
    <w:p>
      <w:pPr>
        <w:pStyle w:val="Heading2"/>
      </w:pPr>
      <w:r>
        <w:t>Short Hypothesis</w:t>
      </w:r>
    </w:p>
    <w:p>
      <w:r>
        <w:t>Exposure to positive electronic word-of-mouth (e-WOM) causally increases a person's stated intention to visit a target destination by improving perceived destination image, holding constant cultural-event information, nationalism, and perceived government support.</w:t>
      </w:r>
    </w:p>
    <w:p>
      <w:r>
        <w:t xml:space="preserve"> </w:t>
      </w:r>
    </w:p>
    <w:p>
      <w:pPr>
        <w:pStyle w:val="Heading2"/>
      </w:pPr>
      <w:r>
        <w:t>Related Work</w:t>
      </w:r>
    </w:p>
    <w:p>
      <w:r>
        <w:t>Prior work studies e-WOM, destination image, cultural events, nationalism, and government support largely in separate strands. Research on e-WOM shows associations between online reviews/social posts and travel interest but often uses cross-sectional or observational data that cannot isolate cause and effect. Studies on destination image link perceived image to visitation intent but typically rely on correlational surveys and small samples. Cultural-event work documents temporary spikes in visits around festivals but rarely separates event publicity effects from pre-existing image. Research on nationalism and government support examines policy and identity effects on travel decisions but often lacks integration with digital signals. Common limitations: (1) heavy reliance on correlational designs, (2) small or convenience samples, (3) limited multi-variable causal models that combine digital signals, cultural calendars, identity, and public policy, and (4) little testing of mediators and moderators (for example, whether e-WOM works by changing image). These gaps leave unclear the causal pathway from e-WOM and events to intention and how nationalism or government support strengthen or weaken effects.</w:t>
      </w:r>
    </w:p>
    <w:p>
      <w:r>
        <w:t xml:space="preserve"> </w:t>
      </w:r>
    </w:p>
    <w:p>
      <w:pPr>
        <w:pStyle w:val="Heading2"/>
      </w:pPr>
      <w:r>
        <w:t>Abstract</w:t>
      </w:r>
    </w:p>
    <w:p>
      <w:r>
        <w:t>This project tests whether positive electronic word-of-mouth (e-WOM) increases tourists' intention to visit Indonesia's five super-priority destinations (Toba, Likupang, Mandalika, Borobudur, Labuan Bajo) and whether that effect operates through destination image. We combine a randomized online exposure experiment with a structured questionnaire to measure perceived destination image, nationalism (identity alignment), cultural-event awareness, perceived government support, and visit intention. Main contribution: a preregistered causal mediation analysis that quantifies the direct effect of e-WOM, the indirect effect via image, and heterogeneity by nationalism and perceived government support. Expected outcome: precise estimates of average treatment effects (ATE), mediation proportions, and subgroup differences to inform marketing, destination management, and policy choices. Results will clarify which levers (digital content, event promotion, government messaging) most reliably move intention and how image and identity shape those effects.</w:t>
      </w:r>
    </w:p>
    <w:p>
      <w:r>
        <w:t xml:space="preserve"> </w:t>
      </w:r>
    </w:p>
    <w:p>
      <w:pPr>
        <w:pStyle w:val="Heading2"/>
      </w:pPr>
      <w:r>
        <w:t>Experiments</w:t>
      </w:r>
    </w:p>
    <w:p>
      <w:r>
        <w:t>Dataset: (A) Randomized online exposure experiment recruited from stratified panels across target source markets (N = 1,200 respondents total; 240 per destination-target stratified by origin market segment). (B) Observational replication using the existing questionnaire sample (N = 200) for descriptive comparison. Randomization and conditions: four-arm between-subject design per destination-target: (1) control (neutral content), (2) positive e-WOM only (curated positive reviews and influencer posts), (3) cultural-event notice only (official event calendar + highlights), (4) combined e-WOM + cultural-event + government-support message. Each respondent sees materials for one destination. Outcomes and measurement: primary outcome = intention-to-visit on a 0–100 scale (higher = greater intent). Mediator = perceived destination image index (0–100). Moderators = nationalism_index (0–100) and perceived_government_support (0–100). Baseline covariates = age, gender, prior-visit, travel frequency, income band, segment archetype. Baseline means and dispersion assumptions for power: baseline intention mean = 30, SD = 20. Power target: detect ATE = 5 points (absolute) with 80% power, α=0.05; N=1,200 yields power ≈0.80 for two-sided test under assumed SD. Analysis methods: (1) Intention ATE estimated by OLS with covariate adjustment and cluster-robust SE by origin market; report point estimates, 95% CI, and p-values. (2) Causal mediation analysis (product-of-coefficients / nonparametric bootstrapped mediation) to estimate indirect effect via destination image and direct effect of treatment. Note: causal mediation estimates the portion of the treatment effect explained by the mediator. (3) Structural equation model (SEM) for joint estimation of paths (report standardized coefficients and fit indices RMSEA and CFI; RMSEA is a fit measure where lower is better, CFI closer to 1 is better). (4) Heterogeneity: pre-specified subgroup ATEs by nationalism terciles, perceived government support terciles, and traveler segment; report interaction terms. (5) Robustness: baseline OLS vs. inverse-propensity weighted ATE; ablation study comparing combined treatment vs. individual components to assess incremental effect of e-WOM over event messaging. (6) Multiple-testing correction using Benjamini-Hochberg false discovery rate for the family of primary and subgroup tests. Baselines for comparison: (a) observational regression on the N=200 survey data, (b) naive OLS without mediation, (c) SEM without moderators. Pre-registration: analysis plan, covariates, and subgroup tests will be pre-registered before data collection. Missing data: report item non-response rates and use multiple imputation if &gt;5% missing on covariates.</w:t>
      </w:r>
    </w:p>
    <w:p>
      <w:r>
        <w:t xml:space="preserve"> </w:t>
      </w:r>
    </w:p>
    <w:p>
      <w:pPr>
        <w:pStyle w:val="Heading2"/>
      </w:pPr>
      <w:r>
        <w:t>Risk Factors And Limitations</w:t>
      </w:r>
    </w:p>
    <w:p>
      <w:r>
        <w:t>1) Sample and external validity: online panel respondents may not represent real travelers; stated intention may not translate to actual visits. 2) Small-sample observational replication: N=200 limits precision and prevents strong inference in replication sample. 3) Measurement error: self-reported indices (intention, image, nationalism) may have bias (social desirability). 4) Short-term exposure: single-exposure experiment may not capture cumulative effects of repeated e-WOM. 5) Mediator timing: mediator (image) measured after exposure may still be influenced by unmeasured post-treatment processes, limiting mediation causal claims. 6) Spillovers: panel participants could share stimuli or seek information outside the experiment, contaminating control. 7) Heterogeneity and multiple tests: many subgroup analyses increase false positives even with correction and reduce power. 8) Confounding in observational baseline: the N=200 survey cannot control for all confounders; causal claims limited there. 9) Cultural and market differences: results may not generalize across origin markets with different media ecosystems or travel constraints. 10) Implementation limits: curated e-WOM materials may not match real-world influencer credibility; results depend on realism of stimuli. 11) Computational limits are minor (standard models), but SEM and bootstrapped mediation require careful convergence checks. 12) Ethical/data risks: sensitive identity measures (nationalism) require clear consent and anonymity; ingestion of these items may affect responses.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