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moonj_pattal_sustainable_entrepreneurship</w:t>
      </w:r>
    </w:p>
    <w:p>
      <w:r>
        <w:t xml:space="preserve"> </w:t>
      </w:r>
    </w:p>
    <w:p>
      <w:pPr>
        <w:pStyle w:val="Heading2"/>
      </w:pPr>
      <w:r>
        <w:t>Title</w:t>
      </w:r>
    </w:p>
    <w:p>
      <w:r>
        <w:t>Evaluating the causal effect of sustainable entrepreneurship and digital/AI marketing capabilities on livelihoods and ecological yield in family-based moonj and pattal handicraft enterprises in India using cluster-level quasi-experimental design and PLS-SEM</w:t>
      </w:r>
    </w:p>
    <w:p>
      <w:r>
        <w:t xml:space="preserve"> </w:t>
      </w:r>
    </w:p>
    <w:p>
      <w:pPr>
        <w:pStyle w:val="Heading2"/>
      </w:pPr>
      <w:r>
        <w:t>Short Hypothesis</w:t>
      </w:r>
    </w:p>
    <w:p>
      <w:r>
        <w:t>Introducing sustainable entrepreneurship practices combined with training in digital/AI-based marketing increases annual household net income from moonj/pattal production by at least 15% within 12 months compared to households without these interventions.</w:t>
      </w:r>
    </w:p>
    <w:p>
      <w:r>
        <w:t xml:space="preserve"> </w:t>
      </w:r>
    </w:p>
    <w:p>
      <w:pPr>
        <w:pStyle w:val="Heading2"/>
      </w:pPr>
      <w:r>
        <w:t>Related Work</w:t>
      </w:r>
    </w:p>
    <w:p>
      <w:r>
        <w:t>Existing research covers three main areas: (1) small-scale handicraft livelihoods and gendered income studies that document income sources and constraints but are mostly cross-sectional and descriptive; (2) sustainable entrepreneurship literature showing that firm-level sustainability practices can improve market access and incomes, often studied in formal enterprises with limited evidence for family-based or informal craft units; (3) digital-technology adoption research showing marketing and social-media tools can expand demand for artisanal products, but with mixed causal evidence and limited integration with ecological outcomes. Methodologically, prior studies typically use surveys with basic regression or qualitative case studies and single-domain LCA work that measures environmental footprints without linking to household economics. Limitations in the literature include weak causal identification (few cluster-randomized or pre-registered panel studies), lack of co-located ecological monitoring to measure sustainable yield, scarce integrated LCA tied to primary field measurements, limited attention to women-led household reporting biases, and insufficient evidence on AI/social-media impacts in post-pandemic artisanal markets.</w:t>
      </w:r>
    </w:p>
    <w:p>
      <w:r>
        <w:t xml:space="preserve"> </w:t>
      </w:r>
    </w:p>
    <w:p>
      <w:pPr>
        <w:pStyle w:val="Heading2"/>
      </w:pPr>
      <w:r>
        <w:t>Abstract</w:t>
      </w:r>
    </w:p>
    <w:p>
      <w:r>
        <w:t>This study tests whether combining sustainable entrepreneurship practices with digital and AI-enabled marketing improves livelihoods and ecological sustainability in family-based moonj craft and pattal (leaf plate) production in India. We use a cluster-level quasi-experimental design (cluster-randomized where feasible, otherwise matched difference-in-differences) across three regions with ~40 village clusters and ~800 households. Primary outcomes are annual household net income from moonj/pattal, landscape sustainable yield (t/ha/yr), and women’s share of craft income. We integrate panel household surveys, co-located ecological plots (permanent 10×10 m plots with destructive calibration), and primary LCA measurements (functional unit: 1 kg processed material). We apply PLS-SEM (Partial Least Squares Structural Equation Modeling) to test pathways linking sustainable practices, digital capability, market access, and outcomes, and use cluster-robust ITT econometric models for causal estimates. Main contributions are: (a) causal evidence on sustainable entrepreneurship in informal, women-led handicraft systems; (b) joint socioeconomic-ecological measurement linking household behavior to sustainable-yield estimates; and (c) an operational LCA protocol for artisanal leaf-plate production. Expected impact: clear, policy-relevant results on interventions that raise incomes while maintaining resource sustainability.</w:t>
      </w:r>
    </w:p>
    <w:p>
      <w:r>
        <w:t xml:space="preserve"> </w:t>
      </w:r>
    </w:p>
    <w:p>
      <w:pPr>
        <w:pStyle w:val="Heading2"/>
      </w:pPr>
      <w:r>
        <w:t>Experiments</w:t>
      </w:r>
    </w:p>
    <w:p>
      <w:r>
        <w:t>Datasets: (1) Household panel survey: ~800 households (40 clusters × 20 households) across 3 regions, baseline and 12-month endline; modules: income (cash and in-kind), time-use, asset index, extraction diaries, digital/AI marketing activity logs, and women’s income reporting. (2) Ecological plots: ~48–72 permanent 10×10 m plots per region, quarterly censuses for 24 months, 2–4 destructively sampled plots per landscape for allometry calibration. (3) LCA primary measurements: fuel usage logs, processing energy (kWh), transport distances, input/output weights, waste flows. Baselines: control clusters with no intervention; pre-intervention baseline measures. Experimental design: cluster-randomized assignment where feasible; otherwise matched DiD using panel data and propensity-score matching on pre-treatment covariates. Sample sizes: target 40 clusters, 20 households/cluster (800 households) with power to detect ~15–20% change; include adaptive rule to increase sample up to +20% if baseline variance larger. Primary analysis: ITT ANCOVA with endline outcome regressed on treatment indicator, baseline outcome, stratification fixed effects, and covariates; cluster-robust standard errors. Small-cluster inference: primary inference with wild cluster bootstrap (explain: a resampling method robust to few clusters), secondary check with permutation tests and cluster-aggregated analysis. Structural analysis: PLS-SEM (Partial Least Squares Structural Equation Modeling; a technique to test latent constructs and mediation) implemented in SPSS-26/SmartPLS for pathways: sustainable practices -&gt; digital capability -&gt; market access -&gt; income &amp; women's share. LCA analysis: cradle-to-first-buyer boundary, functional unit = 1 kg processed material; Monte Carlo uncertainty (1000 runs) and one-way sensitivity analyses. Evaluation metrics: absolute change in annual net income (INR/year), landscape yield (kg/ha or t/ha/yr), women’s income share (percentage points), LCA GHG per kg CO2e/kg, adoption rate of digital tools (% households), order volume change (units/year). Comparisons/ablations: (A) Full intervention vs control; (B) Sustainable-practices-only vs sustainable+digital to test digital mediation; (C) PLS-SEM path model vs standard mediated regression to compare inference on mechanisms; (D) LCA with primary field data vs LCA using proxy/ecoinvent inputs to quantify sensitivity. Robustness checks: subgroup analyses by gender-headed households, typology, and region (report as powered if n&gt;=100), missing-data via MICE (m=50), and event-study/placebo outcome tests for parallel trends.</w:t>
      </w:r>
    </w:p>
    <w:p>
      <w:r>
        <w:t xml:space="preserve"> </w:t>
      </w:r>
    </w:p>
    <w:p>
      <w:pPr>
        <w:pStyle w:val="Heading2"/>
      </w:pPr>
      <w:r>
        <w:t>Risk Factors And Limitations</w:t>
      </w:r>
    </w:p>
    <w:p>
      <w:r>
        <w:t>1) Attrition and small-cluster count: dropouts or cluster losses can reduce power and complicate inference; small number of clusters limits standard asymptotic SE methods. 2) Measurement error in income and in-kind valuation: self-reports may have recall bias or social desirability, affecting outcome accuracy. 3) Contamination/spillovers: market spillovers between adjacent villages can bias estimated treatment effects. 4) Ecological sampling constraints: destructive calibration reduces local biomass and requires consent; limited plot coverage may not capture spatial heterogeneity. 5) LCA data gaps: missing primary inputs force use of proxies (ecoinvent), increasing uncertainty in environmental estimates. 6) Heterogeneous digital adoption: differential literacy, smartphone access, and AI tool uptake reduce average intervention effect and complicate interpretation. 7) Generalizability limits: findings may not transfer beyond studied regions, species, or management regimes. 8) Ethical and legal compliance risk: inadequate consent, data governance, or unclear IP/revenue-sharing agreements can harm community trust. 9) Computational and analytical limits: PLS-SEM assumptions and bootstrap methods require careful use when clusters are few and missingness is non-random. 10) Seasonal and market shocks: droughts or sudden price drops can mask intervention effects within short follow-up.</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