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employer_bus_penang</w:t>
      </w:r>
    </w:p>
    <w:p>
      <w:r>
        <w:t xml:space="preserve"> </w:t>
      </w:r>
    </w:p>
    <w:p>
      <w:pPr>
        <w:pStyle w:val="Heading2"/>
      </w:pPr>
      <w:r>
        <w:t>Title</w:t>
      </w:r>
    </w:p>
    <w:p>
      <w:r>
        <w:t>Principal component analysis and causal estimation of determinants of employer-provided bus usage among Penang employees</w:t>
      </w:r>
    </w:p>
    <w:p>
      <w:r>
        <w:t xml:space="preserve"> </w:t>
      </w:r>
    </w:p>
    <w:p>
      <w:pPr>
        <w:pStyle w:val="Heading2"/>
      </w:pPr>
      <w:r>
        <w:t>Short Hypothesis</w:t>
      </w:r>
    </w:p>
    <w:p>
      <w:r>
        <w:t>Provision of an employer-sponsored bus service causally increases an employee's probability of using the employer bus for commuting by at least 5 percentage points relative to no provision.</w:t>
      </w:r>
    </w:p>
    <w:p>
      <w:r>
        <w:t xml:space="preserve"> </w:t>
      </w:r>
    </w:p>
    <w:p>
      <w:pPr>
        <w:pStyle w:val="Heading2"/>
      </w:pPr>
      <w:r>
        <w:t>Related Work</w:t>
      </w:r>
    </w:p>
    <w:p>
      <w:r>
        <w:t>Previous work links socioeconomic, psychological, and logistical factors to employee commuting choices and has used methods such as descriptive statistics, latent-class choice models, difference-in-differences (DiD), and instrumental variables (IV) to estimate effects of transport interventions. Many studies incorporate spatial data or sensor logs but often treat these sources separately, use small samples, or lack pre-registered causal estimands. Limitations include weak or untested instruments, limited handling of interference or spatial spillovers (violations of the assumption that one unit's treatment does not affect another's), ad-hoc treatment of sensor data errors, scarce integration of latent behavioral constructs with causal estimators, and few reproducible ETL/linkage protocols. Current methods rarely combine principal component analysis (PCA) derived latent factors with staggered-treatment causal estimators and validated sensor-to-trip algorithms in a single pre-registered pipeline.</w:t>
      </w:r>
    </w:p>
    <w:p>
      <w:r>
        <w:t xml:space="preserve"> </w:t>
      </w:r>
    </w:p>
    <w:p>
      <w:pPr>
        <w:pStyle w:val="Heading2"/>
      </w:pPr>
      <w:r>
        <w:t>Abstract</w:t>
      </w:r>
    </w:p>
    <w:p>
      <w:r>
        <w:t>This study identifies the main socioeconomic, psychological, and spatial determinants of employer-provided bus usage in Penang and estimates the causal effect of bus availability on employee uptake. We first reduce 18 survey variables to a small set of latent components using principal component analysis (PCA) to summarize attitudes, constraints, and perceived logistics. We then combine observational and administrative data (surveys, firm HR, smartcard/GPS, GIS) to estimate causal effects using staggered difference-in-differences (Callaway &amp; Sant’Anna) and instrumental-variable (IV) approaches. We integrate PCA components as covariates in mixed logit and latent-class models to recover time/fare elasticities and willingness-to-pay. Main contributions are (1) a reproducible pipeline that links PCA-derived behavioral factors with causal estimators and sensor validation, (2) pre-registered algorithms for converting sensor logs to trips, and (3) policy-relevant ATT and LATE estimates that inform employer bus program design. Expected outcome: clear, testable determinants and reliable causal estimates to guide equitable, scalable employer-bus policies in Penang.</w:t>
      </w:r>
    </w:p>
    <w:p>
      <w:r>
        <w:t xml:space="preserve"> </w:t>
      </w:r>
    </w:p>
    <w:p>
      <w:pPr>
        <w:pStyle w:val="Heading2"/>
      </w:pPr>
      <w:r>
        <w:t>Experiments</w:t>
      </w:r>
    </w:p>
    <w:p>
      <w:r>
        <w:t>Datasets: 1) Primary survey of Penang government employees (n=123) with 18 attitudinal/logistical variables; 2) expanded pilot/target RP sample (simulated and collected) up to ~2,000 employees across ~80 firms; 3) firm HR records (start dates, firm size), smartcard and GPS boarding logs, and GIS layers (bus stops, road network). Baselines: A) multilevel logistic regression on binary uptake without PCA; B) mixed logit without latent attitudes; C) naive DiD (two-way fixed effects); D) DiD with Callaway &amp; Sant’Anna (C&amp;S); E) IV with candidate instruments (distance to depot, subsidy eligibility cutoff). Evaluation metrics: ATT and LATE point estimates and 95% CI; bias and RMSE of ATT in simulations; first-stage F-stat and partial R2 for IV; RMSE and MAE for predicted mode shares; classification accuracy (hit-rate) for individual choices; AIC/BIC and out-of-sample log-likelihood for model comparison; coverage probabilities for CIs in simulations. Experimental setup: 1) Apply PCA (principal component analysis—statistical method that reduces many variables into fewer components) to 18 survey items; retain components with eigenvalue&gt;1 and interpret loadings. 2) Use PCA components as covariates in (mixed) logistic and latent-class choice models; estimate mixed logit (random coefficients) and latent-class models combining RP+SP with a scale parameter; reserve 20% RP holdout for validation. 3) Causal estimation: run C&amp;S DiD with event window −12 to +24 months, cluster SEs at firm; run IV using pre-registered instruments and report F-stat. 4) Sensor validation: implement sensor-to-trip algorithm (boarding deduplication: merge taps within 2 minutes as one boarding; consecutive boards by same ID within 5 min on same route treated as transfer; clock-drift correction: align device timestamps to server time within ±30 seconds) and validate against travel diary for a 10% validation subsample; require sensor coverage &gt;=70% of workdays per employee for inclusion. 5) Ablations: (a) drop PCA components vs full covariate set; (b) drop spatial covariates; (c) use naive DiD vs C&amp;S; (d) IV vs non-IV estimates. 6) Simulations: Monte Carlo grid over ICC={0.01,0.03,0.05,0.08}, cluster sizes 10–40, attrition 0–30% to compute power and MDE for binary and continuous firm-share outcomes. Reproducibility: all analyses packaged in Docker with seed-fixed scripts.</w:t>
      </w:r>
    </w:p>
    <w:p>
      <w:r>
        <w:t xml:space="preserve"> </w:t>
      </w:r>
    </w:p>
    <w:p>
      <w:pPr>
        <w:pStyle w:val="Heading2"/>
      </w:pPr>
      <w:r>
        <w:t>Risk Factors And Limitations</w:t>
      </w:r>
    </w:p>
    <w:p>
      <w:r>
        <w:t>1) Interference and spillovers: coworkers or nearby firms may influence uptake, violating SUTVA (assumes no spillovers); this limits causal interpretation for individual-level ATT. 2) Sensor data errors: smartcard/GPS logs may have missing taps, clock drift, or duplicate records; misclassification of trips can bias uptake measures. 3) Weak instruments: candidate IVs may fail first-stage strength (low F-stat), yielding imprecise or biased LATE estimates. 4) Sample size and external validity: small initial survey (n=123) and pilot samples may not generalize to all Penang firms; power for subgroup tests may be low. 5) Missing data and linkage bias: probabilistic linkage and imputation rely on missing-at-random assumptions that may not hold. 6) Privacy constraints: geomasking and anonymization reduce spatial precision, limiting fine-grained spatial inference. 7) Model complexity and compute: mixed/hybrid models with latent classes are computationally heavy and may not converge or may yield local optima. 8) Confounding and unobserved heterogeneity: unmeasured firm policies or culture may confound estimates even after controls. 9) Operational contamination: communications or simultaneous policies may create contamination that is hard to fully observe or adjust for. 10) Limited generalization beyond Penang: urban form, transit supply, and employer structures differ in other cities.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