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cash_waqf_bibliometrics</w:t>
      </w:r>
    </w:p>
    <w:p>
      <w:r>
        <w:t xml:space="preserve"> </w:t>
      </w:r>
    </w:p>
    <w:p>
      <w:pPr>
        <w:pStyle w:val="Heading2"/>
      </w:pPr>
      <w:r>
        <w:t>Title</w:t>
      </w:r>
    </w:p>
    <w:p>
      <w:r>
        <w:t>Mapping trends and themes of cash waqf research in Islamic finance using integrated bibliometric and scientometric methods on Scopus and Web of Science</w:t>
      </w:r>
    </w:p>
    <w:p>
      <w:r>
        <w:t xml:space="preserve"> </w:t>
      </w:r>
    </w:p>
    <w:p>
      <w:pPr>
        <w:pStyle w:val="Heading2"/>
      </w:pPr>
      <w:r>
        <w:t>Short Hypothesis</w:t>
      </w:r>
    </w:p>
    <w:p>
      <w:r>
        <w:t>Applying an integrated bibliometric and scientometric pipeline to Scopus and Web of Science records causes identification of stable thematic clusters of cash waqf research (median ARI &gt; 0.6) and yields higher retrieval precision (≥ 0.80) than single-database keyword-only retrieval.</w:t>
      </w:r>
    </w:p>
    <w:p>
      <w:r>
        <w:t xml:space="preserve"> </w:t>
      </w:r>
    </w:p>
    <w:p>
      <w:pPr>
        <w:pStyle w:val="Heading2"/>
      </w:pPr>
      <w:r>
        <w:t>Related Work</w:t>
      </w:r>
    </w:p>
    <w:p>
      <w:r>
        <w:t>Prior work on cash waqf and Islamic finance has used narrative literature reviews, small-scale bibliometric counts, or single-database searches. Existing bibliometric studies commonly rely on one database, use simple keyword-frequency or co-occurrence methods, and often omit systematic handling of transliteration (waqf/wakf/wakaf), non-English records, and grey literature. Topic modeling applications in this area are limited and seldom compare multiple algorithms or test parameter sensitivity. Network analyses have been produced without rigorous reproducibility artifacts (containerized code, seed capture) or expert validation. Limitations in prior approaches include narrow coverage, inconsistent deduplication, weak validation of topic stability, lack of formal gold sets for precision/recall, and poor provenance for shareable metadata.</w:t>
      </w:r>
    </w:p>
    <w:p>
      <w:r>
        <w:t xml:space="preserve"> </w:t>
      </w:r>
    </w:p>
    <w:p>
      <w:pPr>
        <w:pStyle w:val="Heading2"/>
      </w:pPr>
      <w:r>
        <w:t>Abstract</w:t>
      </w:r>
    </w:p>
    <w:p>
      <w:r>
        <w:t>This study charts the development and thematic contours of cash waqf research within Islamic finance by applying an integrated bibliometric and scientometric pipeline to publications indexed in Scopus and Web of Science. We retrieve and harmonize records using canonical queries with transliteration variants, normalize metadata, and deduplicate exports. We apply topic models (LDA and BERTopic) and bibliometric network methods (co-authorship, citation, and keyword co-occurrence) using scientometric tools to produce thematic clusters and temporal trends. Main contributions are: a reproducible retrieval and cleaning workflow, a stratified gold set for precision/recall evaluation, sensitivity-tested topic models with bootstrap nulls for statistical validation, and interactive visual outputs mapping themes, authors, and regions. Expected outcomes are reproducible maps of research fronts, validated topic labels, and evidence-based recommendations for future research and policy in cash waqf. The deliverables include code, thesauri, and aggregated metadata compatible with open sharing under licensing constraints.</w:t>
      </w:r>
    </w:p>
    <w:p>
      <w:r>
        <w:t xml:space="preserve"> </w:t>
      </w:r>
    </w:p>
    <w:p>
      <w:pPr>
        <w:pStyle w:val="Heading2"/>
      </w:pPr>
      <w:r>
        <w:t>Experiments</w:t>
      </w:r>
    </w:p>
    <w:p>
      <w:r>
        <w:t>Datasets: exports from Scopus and Web of Science using canonical queries (include waqf/wakf/wakaf and Arabic وقف), optional Google Scholar sweep and prioritized grey literature repositories; pilot sample 500–700 deduplicated records; gold set: stratified 100 records (time, journal tier, region). Preprocessing: Unicode NFKC normalization, lowercasing, remove punctuation/digits, spaCy tokenization and lemmatization (explain: tokenization splits text into words; lemmatization reduces words to base forms), phrase detection with Gensim Phrases, keep named entities. Deduplication: DOI exact match; normalized-title exact match; fuzzy match thresholds token_set_ratio ≥0.92 AND Jaro–Winkler ≥0.93 for auto-merge; 0.85–0.92 flagged for manual review. Translation: detect language (fastText), machine translate (MarianMT), route low-quality or gold-set items for human post-edit. Modeling: run LDA (Gensim) with K ∈ {6..12,12..20}, 5–10 seeds; run BERTopic with sentence-transformers embeddings (all-mpnet-base-v2), UMAP n_neighbors ∈ [15,50], HDBSCAN min_cluster_size ∈ [5,15], min_samples ∈ [1,10]. Baselines: single-database retrieval (Scopus only, WoS only), keyword-frequency / co-occurrence baseline, and no-transliteration-normalization ablation. Validation metrics: precision and recall vs gold set (report 95% CI), topic coherence c_v (target &gt;0.45), silhouette score (target &gt;0.20), cluster stability ARI and NMI via bootstrap resampling (1,000 samples), and effect-size comparison to null models (shuffled DTM and random-topic assignments). Ablations: compare results with and without transliteration normalization, with LDA vs BERTopic, and with vs without expert label adjudication. Outputs: per-cluster exemplar documents (5–10), sensitivity tables over parameter grids, reproducible code and Docker image, and interactive visualizations (VOSviewer/Gephi exports).</w:t>
      </w:r>
    </w:p>
    <w:p>
      <w:r>
        <w:t xml:space="preserve"> </w:t>
      </w:r>
    </w:p>
    <w:p>
      <w:pPr>
        <w:pStyle w:val="Heading2"/>
      </w:pPr>
      <w:r>
        <w:t>Risk Factors And Limitations</w:t>
      </w:r>
    </w:p>
    <w:p>
      <w:r>
        <w:t>Data coverage bias: Scopus and WoS omit some regional journals, theses, policy documents and non-indexed grey literature, limiting generalization. Transliteration and translation errors: inconsistent waqf spellings and machine translation may misclassify items. Licensing constraints: WoS/Scopus metadata sharing limits may restrict open release of full metadata fields. Deduplication errors: fuzzy-match thresholds can produce false merges or missed duplicates. Model instability: topic models may vary across seeds and parameter settings; some topics may be incoherent despite high numeric scores. Expert validation limits: inter-rater disagreement and small expert panels can limit label consensus. Compute and cost limits: embedding large corpora may require GPU resources; fallback embeddings reduce quality. Evaluation bias: gold set sample size and stratification may not fully capture rare subtopics, affecting precision/recall estimates. Reproducibility risk: incomplete capture of random seeds, environment hashes, or provenance logs can impede exact replication.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