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cogdiv_audit_vietnam</w:t>
      </w:r>
    </w:p>
    <w:p>
      <w:r>
        <w:t xml:space="preserve"> </w:t>
      </w:r>
    </w:p>
    <w:p>
      <w:pPr>
        <w:pStyle w:val="Heading2"/>
      </w:pPr>
      <w:r>
        <w:t>Title</w:t>
      </w:r>
    </w:p>
    <w:p>
      <w:r>
        <w:t>Survey and randomized intervention analysis of cognitive diversity and team-level determinants of audit quality in Vietnamese audit firms</w:t>
      </w:r>
    </w:p>
    <w:p>
      <w:r>
        <w:t xml:space="preserve"> </w:t>
      </w:r>
    </w:p>
    <w:p>
      <w:pPr>
        <w:pStyle w:val="Heading2"/>
      </w:pPr>
      <w:r>
        <w:t>Short Hypothesis</w:t>
      </w:r>
    </w:p>
    <w:p>
      <w:r>
        <w:t>Increasing team-level cognitive diversity and structured team collaboration causes higher audit quality (measured by a pre-specified composite index) for audit engagements in Vietnamese audit firms.</w:t>
      </w:r>
    </w:p>
    <w:p>
      <w:r>
        <w:t xml:space="preserve"> </w:t>
      </w:r>
    </w:p>
    <w:p>
      <w:pPr>
        <w:pStyle w:val="Heading2"/>
      </w:pPr>
      <w:r>
        <w:t>Related Work</w:t>
      </w:r>
    </w:p>
    <w:p>
      <w:r>
        <w:t>Prior studies show that team diversity can improve decision quality and creativity, and that gender and demographic diversity sometimes predict better team outcomes. Existing approaches include cross-sectional archival analyses of diversity and performance, survey-based correlational studies of team composition, and a few field experiments in organizational settings. Limitations of prior work are: heavy reliance on observational data that leaves open selection bias, sparse use of validated psychometric measures of cognitive styles, few randomized or quasi-experimental tests of team-level interventions, inconsistent definitions of audit quality across studies, and limited evidence from emerging markets. These gaps mean prior methods struggle to rule out confounding (people self-select into teams), have weak measurement of cognitive diversity, and provide little guidance on feasible non-disruptive interventions in regulated contexts like Vietnam.</w:t>
      </w:r>
    </w:p>
    <w:p>
      <w:r>
        <w:t xml:space="preserve"> </w:t>
      </w:r>
    </w:p>
    <w:p>
      <w:pPr>
        <w:pStyle w:val="Heading2"/>
      </w:pPr>
      <w:r>
        <w:t>Abstract</w:t>
      </w:r>
    </w:p>
    <w:p>
      <w:r>
        <w:t>This study tests whether team-level cognitive diversity and related team characteristics improve audit quality in Vietnamese audit firms. We combine a structured survey of auditors, validated psychometric scales and behavioral vignettes, archival measures of engagement outcomes, and randomized non-disruptive interventions (training intensity, structured checklists, facilitated wrap-ups). The main contribution is a pre-registered, mixed-methods causal design that estimates intent-to-treat and complier average causal effects of team composition and team processes on a pre-specified composite audit-quality index (discretionary accruals, engagement audit adjustments, audit delay, restatement incidence), plus binary indicators for opinion modification and regulatory inspection flags. Expected outcomes are evidence on whether and how measurable cognitive diversity and team collaboration causally affect audit effectiveness in an emerging-market regulatory environment, and validated survey instruments and composite-construction rules suitable for replication and policy use.</w:t>
      </w:r>
    </w:p>
    <w:p>
      <w:r>
        <w:t xml:space="preserve"> </w:t>
      </w:r>
    </w:p>
    <w:p>
      <w:pPr>
        <w:pStyle w:val="Heading2"/>
      </w:pPr>
      <w:r>
        <w:t>Experiments</w:t>
      </w:r>
    </w:p>
    <w:p>
      <w:r>
        <w:t>Datasets: (1) primary survey of auditors and team rosters (pilot n≈20–40 teams; target full sample 200–400 teams); (2) behavioral vignette responses; (3) archival engagement-level outcomes from SSC and firm records (discretionary accruals, audit adjustments, audit report dates, restatement flags, opinion text, inspection findings). Baselines: (A) observational multilevel regression of audit-quality composite on diversity indices with covariates; (B) randomized ITT estimates comparing assigned intervention arms; (C) CACE estimates via 2SLS using assignment as instrument for receipt. Evaluation metrics: coefficient estimates, 95% confidence intervals, p-values adjusted by Romano–Wolf stepdown (primary family), Benjamini–Hochberg for secondary families, standardized effect sizes (Cohen's d), first-stage F-statistics for IV, and power curves. Primary outcomes: continuous composite (standardized sum of Modified-Jones discretionary accruals, absolute engagement audit adjustments normalized by prior assets, audit delay in days, restatement incidence), binary opinion modification, binary inspection flag. Experimental setup: randomize non-disruptive treatments at engagement or stepped-wedge cluster level; pre-specify blocking by firm and client risk strata; track compliance (complier = ≥80% assigned elements completed). Models: mixed-effects linear models for continuous composite (random intercepts by firm/client), linear probability model and mixed logistic for binaries, cluster-robust SEs at firm, wild-cluster bootstrap if few clusters. Missing data: MICE (m=50) under MAR; sensitivity via Lee bounds and MNAR δ-shifts. Ablations: compare diversity indices (SD of psychometric scores, Blau index for categorical traits, Mahalanobis/Euclidean distance for combined attributes); compare composite constructions (z-score pooled sum, PCA-first-component, theory-weighted) and report all; contrast ITT vs CACE vs observational models to assess bias. Pre-specified checks: measurement invariance (configural, metric, scalar) across firms/languages, coder blind double-coding with Cohen's kappa target ≥0.70, and low-event strategies (Firth penalized likelihood, Bayesian hierarchical pooling) if inspection counts are sparse.</w:t>
      </w:r>
    </w:p>
    <w:p>
      <w:r>
        <w:t xml:space="preserve"> </w:t>
      </w:r>
    </w:p>
    <w:p>
      <w:pPr>
        <w:pStyle w:val="Heading2"/>
      </w:pPr>
      <w:r>
        <w:t>Risk Factors And Limitations</w:t>
      </w:r>
    </w:p>
    <w:p>
      <w:r>
        <w:t>Low-frequency events: regulatory inspection flags may be too rare for precise inference, limiting policy conclusions. Noncompliance and take-up: partner vetoes, scheduling, or client refusal can reduce treatment receipt and complicate CACE estimation. Measurement error: self-reports and behavioral vignettes can be biased by social desirability; archival coding ambiguity may remain. Small psychometric sample: pilot sizes may be insufficient for stable EFA/CFA and full measurement-invariance testing. Endogenous team formation: observational contrasts may be confounded by unobserved matching of auditors to engagements. Spillovers and interference: team-level randomization within firms can create spillovers across engagements. Regulatory constraints: limits on audio recording or data sharing may reduce behavioral data richness and require alternative protocols. Generalizability: results from Vietnamese firms may not transfer to other regulatory or cultural settings. Computational limits: hierarchical and Bayesian models require careful tuning but are feasible with moderate compute; however, very rare-event Bayesian priors must be chosen carefully and reported transparently.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