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ai_good_governance_bibliometrics</w:t>
      </w:r>
    </w:p>
    <w:p>
      <w:r>
        <w:t xml:space="preserve"> </w:t>
      </w:r>
    </w:p>
    <w:p>
      <w:pPr>
        <w:pStyle w:val="Heading2"/>
      </w:pPr>
      <w:r>
        <w:t>Title</w:t>
      </w:r>
    </w:p>
    <w:p>
      <w:r>
        <w:t>Science mapping using bibliographic coupling and co-word analysis to identify research trends in the application of artificial intelligence for good governance in universities</w:t>
      </w:r>
    </w:p>
    <w:p>
      <w:r>
        <w:t xml:space="preserve"> </w:t>
      </w:r>
    </w:p>
    <w:p>
      <w:pPr>
        <w:pStyle w:val="Heading2"/>
      </w:pPr>
      <w:r>
        <w:t>Short Hypothesis</w:t>
      </w:r>
    </w:p>
    <w:p>
      <w:r>
        <w:t>Bibliographic coupling and co-word analysis on a multi-source corpus (2010–2025) will produce stable topic clusters whose document-level classifiers predict governance indicators (transparency, accountability, equity, privacy, academic integrity) with macro F1 ≥ 0.75.</w:t>
      </w:r>
    </w:p>
    <w:p>
      <w:r>
        <w:t xml:space="preserve"> </w:t>
      </w:r>
    </w:p>
    <w:p>
      <w:pPr>
        <w:pStyle w:val="Heading2"/>
      </w:pPr>
      <w:r>
        <w:t>Related Work</w:t>
      </w:r>
    </w:p>
    <w:p>
      <w:r>
        <w:t>Prior work applies bibliometric and NLP methods to map AI in higher education, using techniques such as co-citation, co-word analysis, topic modeling (models that group text into topics), and network clustering. Network-based methods (e.g., bibliographic coupling, which links documents by shared references) reveal structural communities but can miss fine-grained semantic themes; text-based topic models (e.g., LDA) capture themes but often lack robustness across languages and require manual labeling. Recent approaches use transformer embeddings and clustering for topic detection, improving semantic coherence but introducing reproducibility and parameter-sensitivity issues. Existing studies tend to focus on student success prediction, resource allocation, or legal compliance rather than operational governance metrics, and they commonly rely on single databases and English-only corpora. Limitations include Global North bias, low multilingual coverage, scarce operational definitions of governance indicators, limited manual validation, and insufficient transparency about preprocessing and hyperparameters.</w:t>
      </w:r>
    </w:p>
    <w:p>
      <w:r>
        <w:t xml:space="preserve"> </w:t>
      </w:r>
    </w:p>
    <w:p>
      <w:pPr>
        <w:pStyle w:val="Heading2"/>
      </w:pPr>
      <w:r>
        <w:t>Abstract</w:t>
      </w:r>
    </w:p>
    <w:p>
      <w:r>
        <w:t>This study maps the research landscape on using artificial intelligence (AI) for good governance in universities by combining bibliographic coupling (linking documents by shared references) and co-word analysis (examining co-occurring keywords) on a multi-source corpus from 2010–2025. We integrate metadata from Web of Science and supplementary open sources, apply multilingual embedding-based topic extraction, and operationalize five governance indicators: transparency, accountability, equity, privacy, and academic integrity. The main contribution is a reproducible pipeline that produces stable science maps, document-level governance proxies (automated classifiers), and sensitivity diagnostics across databases and languages. Expected outcomes include (1) an open, versioned dataset and codebase with pinned parameters; (2) validated topic clusters linking AI methods to governance functions; and (3) quantitative estimates of coverage bias and cluster robustness. Results will support policymakers and university leaders by revealing where research concentrates, where gaps exist, and which governance concerns are under-explored across regions and languages.</w:t>
      </w:r>
    </w:p>
    <w:p>
      <w:r>
        <w:t xml:space="preserve"> </w:t>
      </w:r>
    </w:p>
    <w:p>
      <w:pPr>
        <w:pStyle w:val="Heading2"/>
      </w:pPr>
      <w:r>
        <w:t>Experiments</w:t>
      </w:r>
    </w:p>
    <w:p>
      <w:r>
        <w:t>Datasets: primary Web of Science export (2010–2025) plus Scopus/Dimensions/Unpaywall/CORE/arXiv/SSRN metadata; targeted non-English queries in Mandarin, Spanish, French, Portuguese, Arabic, Russian. Preprocessing: DOI-first deduplication; if no DOI, merge titles with Jaro-Winkler ≥0.95 or normalized Levenshtein ≥0.92; normalize authors (ORCID-first) and affiliations to ROR. Embeddings &amp; clustering: sentence-transformers/paraphrase-multilingual-MiniLM-L12-v2 (pinned version) for embeddings; UMAP(n_neighbors=15,min_dist=0.0,metric='cosine',seed=42) for dimensionality reduction; HDBSCAN(min_cluster_size=15,min_samples=5) + BERTopic using these components. Alternative baselines: LDA topic models (k=10..50 choose by coherence), Louvain community detection on bibliographic coupling network with resolution sweep [0.6,0.8,1.0,1.2,1.4]. Manual labeling: stratified sample 60 documents per language (7 languages) → 420 labels; two independent coders per document; adjudication panel; target Cohen's kappa ≥0.7. Classifier training: supervised classifiers (e.g., logistic regression and XGBoost) using topic and metadata features to predict five governance labels; stratified 5-fold cross-validation; seed=42. Evaluation metrics: clustering stability ARI and NMI across methods; cluster coherence (topic coherence score); classifier precision, recall, F1 (macro and per-label), ROC-AUC per label; inter-rater reliability Cohen's kappa. Statistical procedures: bootstrap CIs (1,000 resamples) for metrics; standardized mean differences pre/post weighting for bias correction. Ablations and sensitivity: (1) multilingual embeddings vs English-only embeddings; (2) BERTopic vs LDA; (3) leave-one-source-out (exclude WoS/Scopus/Dimensions) runs; (4) Louvain resolution sweep; (5) source-weight perturbation ±20%; report seeds and hyperparameter grids for every run. Bias correction covariates: source, language, publication year, document type (article/review/other), region of corresponding affiliation, and journal subject area. Deliverables per experiment: reproducible scripts, logs of parameters/seeds, and archived outputs with DOIs.</w:t>
      </w:r>
    </w:p>
    <w:p>
      <w:r>
        <w:t xml:space="preserve"> </w:t>
      </w:r>
    </w:p>
    <w:p>
      <w:pPr>
        <w:pStyle w:val="Heading2"/>
      </w:pPr>
      <w:r>
        <w:t>Risk Factors And Limitations</w:t>
      </w:r>
    </w:p>
    <w:p>
      <w:r>
        <w:t>Technical failure modes: unstable clusters due to sensitive clustering hyperparameters or sparse citation links; low classifier performance on low-prevalence labels. Data and evaluation biases: Global North and English-language over-representation in primary databases; noisy or missing metadata (missing DOIs, absent ORCID); annotation bias across languages. Scalability and compute limits: multilingual embeddings and large network construction may require GPUs and high memory; compute constraints may limit breadth of sensitivity sweeps. Generalization limits: findings reflect published literature and may not capture undocumented governance practices or non-published institutional policies. Legal and sharing constraints: paywalled content subject to DUAs may restrict public release of full texts or detailed metadata. Multilingual challenges: machine translation and automatic embeddings may lose nuance, causing lower label reliability in some languages. Privacy and synthetic-data limits: releasing synthetic or redacted datasets may reduce fidelity for downstream analyses; re-identification risk thresholds must be respected and may limit quote-level publication. Low-prevalence labels: rare governance topics may produce high uncertainty and wide confidence intervals for classifier metrics.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