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epu_bibliometric_instrument_validation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Bibliometric and NLP-based identification and validation of exogenous instruments for economic policy uncertainty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Exogenous shocks identified by bibliometric–NLP signals (e.g., abrupt media-access disruptions or surprise judicial rulings) generate instrumented variation in a bibliometric-NLP EPU index that causes statistically significant changes in quarterly GDP growth at 1- to 4-quarter horizons.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produces widely used economic policy uncertainty (EPU) indices from newspaper counts and text-based measures and maps scientific fields using bibliometrics and topic models. Prior methods include the Baker–Bloom–Davis EPU (count-based) and text-derived uncertainty indices using topic or embedding methods, plus literature that uses political events or media episodes as instruments for uncertainty. Limitations: many instrument proposals are single-country or single-event and lack cross-source provenance; text-based indices often depend on single databases and lack multilingual coverage and pre-registered thresholds; bibliometric mappings rarely connect to causal IV designs; uncertainty from translation, citation weighting, and clustering is rarely propagated into downstream inference; and weak-instrument problems, overfitting in dynamic topic models, and look-ahead bias in forecasting are common unresolved issues.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develop a reproducible procedure that uses bibliometric network analysis and NLP to identify, document, and validate exogenous instruments for economic policy uncertainty (EPU). Starting from a multi-source Scopus-based corpus (2006–2022) and prioritized languages, we apply calibrated text-similarity, citation-normalization, and topic-embedding methods to detect abrupt topical shifts, media-access disruptions, and institutional events that can serve as candidate instruments. Each candidate receives a provenance file (timing, source documents, archival evidence). We pre-register first-stage strength and falsification tests and apply weak-instrument-robust estimators to estimate causal effects of instrumented EPU on macroeconomic outcomes (GDP, investment, volatility). The main contribution is a jointly bibliometric–NLP pipeline that links transparent instrument discovery to rigorous IV validation, with full uncertainty propagation (bootstrap CIs and sensitivity grids) and an open replication bundle. Expected outcomes are a small set of validated instruments with documented exclusion arguments and evidence that instrumented bibliometric EPU improves causal identification and out-of-sample forecasting versus standard benchmarks.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corpus = Scopus exports (2006–2022) abstracts/metadata; sensitivity corpora = WoS and Dimensions; Baker–Bloom–Davis EPU and CBOE VIX; macro data = BEA/ECB/IMF (quarterly GDP, real investment); firm/market = CRSP/Compustat, EPFR/BIS flows; archival sources = national media archives, court ruling databases, legislative calendars. Languages: English, Spanish, Mandarin (Simplified), Portuguese, French, Arabic, Russian. Baselines: (1) Baker–Bloom–Davis EPU index; (2) VIX; (3) equal-weight topic-prevalence EPU; (4) citation-weighted EPU without NLP instruments. Preprocessing and models: tokenization and lemmatization (SpaCy), SciBERT embeddings (contextual embeddings: numerical vector representing meaning), BERTopic and LDA for topic extraction, calibrated cosine(embedding) cutoffs (pre-registered primary=0.70, sensitivity=0.50/0.60). Candidate instrument discovery: detect citation bursts, sudden embedding-topic drift, media-access shocks (e.g., newspaper strikes), surprise judicial or budget rulings flagged via entity/NER timelines. Manual provenance coding for each instrument (timestamp, source docs). Evaluation metrics: first-stage F-statistic and partial R^2 (instrument strength), RMSE for 1/3/4-quarter forecasts, Diebold–Mariano test for forecast comparison, incremental R^2, two-stage least squares (2SLS) IV estimates, LIML and Anderson–Rubin (AR) for weak-instrument robustness, Sargan–Hansen overidentification, bootstrap 95% CIs (1,000 replicates), ARI/NMI for topic stability, coherence (CV, UMass) for topics. Experimental setup: pre-register primary vs exploratory instruments; require first-stage F&gt;10 as preferred threshold (report results if weaker). Run IV estimators: 2SLS, LIML, Fuller, and AR confidence sets. Conduct falsification tests: lead tests (instrument predicts future pre-treatment EPU), unaffected-outcomes tests (e.g., long-run structural variables), placebo dates, and leave-one-instrument-out sensitivity. Ablations: (A) remove citation-weighting from index; (B) exclude non-English translations; (C) vary corpus top-N (500, 1000, 1500); (D) vary text-similarity cutoffs; (E) compare BERTopic vs LDA. Report all parameter grids and reproducible notebooks. Provide minimal power calculations by mapping plausible first-stage partial R^2 (0.01–0.10) to detectable second-stage effect sizes at 80% power given sample N (quarterly country-panel length), and present pre-registered sample-size thresholds for each detectable effect.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licensing and coverage: access restrictions on Scopus/WoS/Dimensions and publisher full-text limit reproducible releases; non-DOI or missing metadata records reduce instrument provenance quality. Measurement error: translation errors and topic-model instability can misdate or misclassify candidate instruments (translation error = wrong meaning from machine translation). Weak instruments: candidate events may have low first-stage strength leading to biased IV estimates (weak-instrument failure mode). Confounding/endogeneity: purportedly exogenous events (e.g., media shocks) may directly affect outcomes, violating exclusion restrictions. Scalability: embedding and bootstrap pipelines require substantial compute (estimated 200–500 GPU-hours, 64–256 GB RAM, 2–5 TB disk) which may be limiting. Generalizability: instruments validated in one country/period may not generalize across countries or time. Reproducibility nondeterminism: GPU nondeterminism and cross-version library differences can affect embeddings and clustering. Legal/ethical: archival material or media content restrictions may prevent public sharing of raw texts. Statistical multiple-testing: many candidate instruments increase false-discovery risk if primary vs exploratory distinctions are not strictly followed.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