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extradition_bibliometric_mapping</w:t>
      </w:r>
    </w:p>
    <w:p>
      <w:r>
        <w:t xml:space="preserve"> </w:t>
      </w:r>
    </w:p>
    <w:p>
      <w:pPr>
        <w:pStyle w:val="Heading2"/>
      </w:pPr>
      <w:r>
        <w:t>Title</w:t>
      </w:r>
    </w:p>
    <w:p>
      <w:r>
        <w:t>Scopus-based bibliometric and network analysis mapping publication trends and thematic evolution in extradition scholarship (2004–2024)</w:t>
      </w:r>
    </w:p>
    <w:p>
      <w:r>
        <w:t xml:space="preserve"> </w:t>
      </w:r>
    </w:p>
    <w:p>
      <w:pPr>
        <w:pStyle w:val="Heading2"/>
      </w:pPr>
      <w:r>
        <w:t>Short Hypothesis</w:t>
      </w:r>
    </w:p>
    <w:p>
      <w:r>
        <w:t>Major extradition-related legal events cause a measurable increase in the number and normalized citation impact of extradition-focused publications in the two- and five-year windows after the event compared to the equivalent pre-event periods.</w:t>
      </w:r>
    </w:p>
    <w:p>
      <w:r>
        <w:t xml:space="preserve"> </w:t>
      </w:r>
    </w:p>
    <w:p>
      <w:pPr>
        <w:pStyle w:val="Heading2"/>
      </w:pPr>
      <w:r>
        <w:t>Related Work</w:t>
      </w:r>
    </w:p>
    <w:p>
      <w:r>
        <w:t>Existing bibliometric approaches use database exports, keyword filters, citation metrics, topic models, and network visualization tools (for example, VOSviewer and bibliometric packages) to map research fields. Work in legal and policy domains has applied term-based searches and co-citation or co-authorship networks to show trends and key contributors. Recent practice adds automated translation and NLP for multilingual corpora and uses field-normalized indicators (CNCI, FWCI) to compare impact. Limitations remain: few studies apply a reproducible, domain-sensitive screening rule for a focused legal topic; many reports omit rigorous author/affiliation disambiguation and do not quantify split/merge errors; normalization choices are inconsistently justified; event-driven analyses rarely combine classical segmented regression with Bayesian change-point methods and publish sensitivity checks; legal-citation linkage across jurisdictions and languages is underdeveloped. Reproducibility and Scopus-licensing constraints are often only partially addressed in prior work.</w:t>
      </w:r>
    </w:p>
    <w:p>
      <w:r>
        <w:t xml:space="preserve"> </w:t>
      </w:r>
    </w:p>
    <w:p>
      <w:pPr>
        <w:pStyle w:val="Heading2"/>
      </w:pPr>
      <w:r>
        <w:t>Abstract</w:t>
      </w:r>
    </w:p>
    <w:p>
      <w:r>
        <w:t>We address the absence of a reproducible, domain-aware bibliometric map of extradition scholarship from 2004 to 2024. Using a Scopus-derived dataset and a structured four-step bibliometric protocol with PRISMA-guided screening, we combine database analytics, citation-normalization (CNCI and FWCI), author/institution disambiguation, topic modeling, and multiplex network mapping (co-authorship, co-citation, keyword co-occurrence). We add event-driven interrupted time series and Bayesian change-point detection to test links between legal events and publication dynamics, and we extract legal citations to connect scholarship to treaties and case law. The main contribution is a fully documented, sensitivity-tested pipeline (search pilots, translation QA, disambiguation validation, threshold grids, and reproducible containers) that yields transparent metrics, thematic maps, and network resources suitable for policy and research synthesis. Expected outcomes are verified publication trends, robust lists of leading contributors, defensible topic labels, and evidence of any event-driven shifts in the field.</w:t>
      </w:r>
    </w:p>
    <w:p>
      <w:r>
        <w:t xml:space="preserve"> </w:t>
      </w:r>
    </w:p>
    <w:p>
      <w:pPr>
        <w:pStyle w:val="Heading2"/>
      </w:pPr>
      <w:r>
        <w:t>Experiments</w:t>
      </w:r>
    </w:p>
    <w:p>
      <w:r>
        <w:t>Datasets: primary Scopus export filtered by TITLE-ABS-KEY(extradit* OR "extraordinary rendition" OR "extradition treaty" OR "extradition law" OR "surrender of fugitives" OR "fugitive transfer" OR "mutual legal assistance") for 2004–2024 (expected n≈837); derived DOI-only metadata for public deposit; pilot stratified sample = 10% of records by 5-year bands, language (English/non-English), and discipline. Baselines: (A) naive keyword export without manual screening; (B) Scopus-filtered plus automated proximity/term-frequency only; (C) alternative-source baseline using Dimensions/Web of Science filtered by same string. Author disambiguation validation: build gold-standard labeled sample of 300 records covering top 100 productive authors, 100 medium-visibility names, and 100 random names across languages; measure split and merge error rates and report precision, recall, F1 for author clusters. Screening validation: dual independent abstract coding on pilot sample; compute Cohen's kappa target ≥0.80. Topic modeling: run LDA, NMF, and Structural Topic Model (STM) scanning k in [8,30]; report coherence metrics (C_v, UMass, C_V if available), exclusivity, held-out likelihood, and stability (adjusted Rand index ARI across 5 seeds); choose model by coherence peak and ARI&gt;0.7; archive 10% annotated sample and compute inter-annotator agreement (Cohen's kappa). Network analyses: construct co-authorship, co-citation, and keyword co-occurrence networks with primary node thresholds (authors≥3 papers, institutions≥3) and edge weight≥2; compute modularity, degree centrality, betweenness, and track community evolution in 3-year slices. Event analysis: compile candidate events table, run segmented regression (annual counts or rates) with Newey–West HAC SEs using a data-driven bandwidth selector (Andrews automatic bandwidth) and compare fixed lags 0,1,2; run Bayesian piecewise Negative Binomial with priors α∼Normal(0,5), β∼Normal(0,2), φ∼Gamma(2,0.1) and infer change-point τ; publish prior-predictive checks and sensitivity grids. Legal-citation linkage: apply regex+spaCy gazetteer extraction across languages, normalize via token Jaccard and Levenshtein, and manually verify top 200 cited legal sources. Ablations and sensitivity studies: (1) author/institution threshold grid (authors≥2,≥3,≥5); (2) with vs without self-citations; (3) translation pipeline on vs off for non-English abstracts; (4) alternative normalization (CNCI vs FWCI vs percentiles); (5) prior and lag sensitivity for event models. Evaluation metrics: precision, recall, F1 for screening and disambiguation; Cohen's kappa for annotation; CNCI/FWCI ranks and Spearman correlations; topic coherence (C_v) and exclusivity; ARI for topic stability; model comparison via WAIC/LOO for Bayesian models; ITS significance with Newey–West robust SEs. Reproducibility and setup: pin R 4.2.x and Python 3.10, VOSviewer 1.6.18, Bibliometrix, gensim/stm; set fixed seeds (e.g., 20260119), containerize in Docker, orchestrate with Snakemake; recommended compute 16 CPU cores and 64 GB RAM; include unit tests for deduplication, author-ID consistency, and topic-coherence baseline.</w:t>
      </w:r>
    </w:p>
    <w:p>
      <w:r>
        <w:t xml:space="preserve"> </w:t>
      </w:r>
    </w:p>
    <w:p>
      <w:pPr>
        <w:pStyle w:val="Heading2"/>
      </w:pPr>
      <w:r>
        <w:t>Risk Factors And Limitations</w:t>
      </w:r>
    </w:p>
    <w:p>
      <w:r>
        <w:t>Data licensing: Scopus full exports cannot be publicly shared and may limit replication by external users. Coverage bias: Scopus may underrepresent regional or non-English outlets, producing language bias. Screening error: imperfect screening and translation can yield false inclusions/exclusions; dual coding mitigates but does not eliminate this. Disambiguation errors: name splits and merges can distort author and institution metrics, especially for common names and non-Latin scripts. Small-sample instability: field-year normalized indicators and institution-level measures may be unstable when n&lt;3 papers. Event attribution: temporal association does not prove causation; unobserved confounders or publication delay can bias ITS estimates. Model sensitivity: Bayesian priors and Newey–West lag choices affect inference; results require sensitivity grids. Legal-citation extraction: heterogeneous citation formats and non-English reporter styles may reduce recall and require manual verification. Compute limits: topic modeling and dynamic networks may need high memory and compute; resource shortages can force coarser slicing. Generalizability: findings are specific to Scopus-covered extradition literature and the chosen 2004–2024 window and may not generalize to other legal topics or databases.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