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mobile_wallet_tam_utaut_nepal</w:t>
      </w:r>
    </w:p>
    <w:p>
      <w:r>
        <w:t xml:space="preserve"> </w:t>
      </w:r>
    </w:p>
    <w:p>
      <w:pPr>
        <w:pStyle w:val="Heading2"/>
      </w:pPr>
      <w:r>
        <w:t>Title</w:t>
      </w:r>
    </w:p>
    <w:p>
      <w:r>
        <w:t>A TAM/UTAUT-based structural equation and count-model analysis of mobile wallet adoption, behavioural intention, and customer satisfaction in Nepal</w:t>
      </w:r>
    </w:p>
    <w:p>
      <w:r>
        <w:t xml:space="preserve"> </w:t>
      </w:r>
    </w:p>
    <w:p>
      <w:pPr>
        <w:pStyle w:val="Heading2"/>
      </w:pPr>
      <w:r>
        <w:t>Short Hypothesis</w:t>
      </w:r>
    </w:p>
    <w:p>
      <w:r>
        <w:t>Increased perceived usefulness and perceived ease of use cause higher monthly transactions per active user (transactions/user/month) through increased behavioral intention and habit, resulting in higher customer satisfaction.</w:t>
      </w:r>
    </w:p>
    <w:p>
      <w:r>
        <w:t xml:space="preserve"> </w:t>
      </w:r>
    </w:p>
    <w:p>
      <w:pPr>
        <w:pStyle w:val="Heading2"/>
      </w:pPr>
      <w:r>
        <w:t>Related Work</w:t>
      </w:r>
    </w:p>
    <w:p>
      <w:r>
        <w:t>Existing work applies the Technology Acceptance Model (TAM) and Unified Theory of Acceptance and Use of Technology (UTAUT) to explain digital payment adoption. Typical approaches estimate relationships among perceived ease of use, perceived usefulness, social influence, and intention using survey-only structural equation models (SEM). Limitations in current methods include small or convenience samples, reliance on self-reported usage rather than provider logs, failure to model count outcomes with appropriate distributions (counts are often treated as continuous), limited attention to mediation (e.g., habit as a mediator), weak handling of zero use and overdispersion, sparse treatment of linkage error when combining logs with surveys, and insufficient testing of measurement invariance across socio-demographic groups. Few studies pre-specify causal estimands (ITT, CACE) for randomized encouragement designs or publish full power/simulation code for sample-size choices.</w:t>
      </w:r>
    </w:p>
    <w:p>
      <w:r>
        <w:t xml:space="preserve"> </w:t>
      </w:r>
    </w:p>
    <w:p>
      <w:pPr>
        <w:pStyle w:val="Heading2"/>
      </w:pPr>
      <w:r>
        <w:t>Abstract</w:t>
      </w:r>
    </w:p>
    <w:p>
      <w:r>
        <w:t>This study examines how perceived ease of use, perceived usefulness, social influence, perceived security, and price value shape mobile wallet adoption, monthly usage, and customer satisfaction in Nepal. We combine a TAM/UTAUT-derived latent-variable model with count-based outcome models to link attitudes to behavior. Primary outcome is monthly transactions per active user (transactions/user/month); counts will be modeled with a zero-inflated negative binomial (ZINB) to handle excess zeros and overdispersion (when variance exceeds mean). We collect primary survey data and privacy-preserved provider logs (hashed IDs and user-month aggregates). Main contributions: (1) integrate SEM mediation analysis (latent attitudes → intention → habit → usage → satisfaction) with appropriate count models for behavioral outcomes; (2) validate measures with cognitive interviews, multi-group measurement invariance tests, and link error propagation; (3) preregistered analytic pipeline including ITT and CACE estimation for an agent-level encouragement experiment. Expected outcome: robust, policy-relevant estimates of which attitudinal factors causally affect wallet transactions and satisfaction, with transparent code and synthetic data for reproducibility.</w:t>
      </w:r>
    </w:p>
    <w:p>
      <w:r>
        <w:t xml:space="preserve"> </w:t>
      </w:r>
    </w:p>
    <w:p>
      <w:pPr>
        <w:pStyle w:val="Heading2"/>
      </w:pPr>
      <w:r>
        <w:t>Experiments</w:t>
      </w:r>
    </w:p>
    <w:p>
      <w:r>
        <w:t>Datasets: (1) Cross-sectional survey of N=900 respondents stratified by province × urban/rural with TAM/UTAUT items and demographics. (2) Longitudinal panel baseline N=450 with three follow-ups at 3, 6, 9 months. (3) Provider logs: hashed-user monthly transactions and monthly transaction value for pilot and main sample; synthetic logs for pipeline tests. (4) Pilot consented plaintext subsample (n=150) to validate linkage. Baselines: (A) TAM-only SEM using self-report behavioral intention (latent) predicting self-report usage; (B) UTAUT2 extended SEM with additional constructs; (C) survey-only models that treat counts as continuous. Primary metrics: monthly transactions per active user (transactions/user/month); behavioral intention latent score; customer satisfaction latent score; model fit: RMSEA, CFI, TLI; reliability: McDonald's omega; inferential: ITT effect (difference in mean transactions/user/month), CACE (complier effect), permutation p-values. Primary analysis: SEM for latent constructs estimated via confirmatory factor analysis (CFA) to obtain factor scores (fit targets RMSEA&lt;.06, CFI/TLI&gt; .95; omega&gt;0.70). Link SEM to behavioral outcome using a two-part approach: (1) zero model (logit) for probability of any use; (2) conditional intensity model: ZINB (log link) for positive counts. Estimate mediation paths (perceived usefulness → habit → transactions) with bootstrapped indirect-effect CIs (10,000 resamples). Randomized test: agent-level encouragement (cluster RCT) with ~22 clusters/arm and cluster size m≈25; primary inference via randomization inference (permutation) for ITT, supported by CR2 cluster-robust SEs and wild cluster bootstrap when cluster count is small. Noncompliance: report first-stage F-statistic; if F&gt;10 report CACE via two-stage residual inclusion (TSRI) for counts and IV-negative binomial as sensitivity. Measurement invariance: multi-group CFA across urban/rural, remittance status, banked/unbanked; if scalar invariance holds, compare latent means; if not, proceed with partial invariance or alignment (documented). Ablations: (1) full model vs model without perceived security and price value to measure contribution of these constructs; (2) models using objective logs vs self-report usages to quantify reporting bias; (3) SEM with continuous-outcome assumption vs SEM+ZINB to show misspecification effects. Power and simulations: publish simulation code with assumed baseline mean transactions µ0, dispersion k, ICC range 0.01–0.10, cluster size distribution, and assumed take-up; produce power vs effect-size curves and minimal detectable effect (10% in transactions or 0.20–0.25 SD). Missing data: primary analyses use MICE with longitudinal structure; sensitivity via pattern-mixture delta adjustments. Linkage error: propagate via multiple imputation of linkage indicator using pilot validation rates. All code, seeds, and synthetic data will be released in a reproducible container.</w:t>
      </w:r>
    </w:p>
    <w:p>
      <w:r>
        <w:t xml:space="preserve"> </w:t>
      </w:r>
    </w:p>
    <w:p>
      <w:pPr>
        <w:pStyle w:val="Heading2"/>
      </w:pPr>
      <w:r>
        <w:t>Risk Factors And Limitations</w:t>
      </w:r>
    </w:p>
    <w:p>
      <w:r>
        <w:t>Provider refusal to share logs or delayed DSAs, which could force reliance on self-reported transactions and increase bias. Linkage error between survey and log data (false matches or missed matches) that can bias estimates if validation subsample is too small. Panel attrition below target (below 80%) causing loss of power and biased growth estimates. Zero-inflation and heavy overdispersion in transaction counts that complicate model fit and inference. Measurement non-invariance across dialects or subgroups that prevents valid latent mean comparisons. Noncompliance in encouragement experiments producing weak instruments (first-stage F&lt;10) limiting credible CACE estimation. Spillovers between clusters (agents) that violate independence and complicate causal attribution. Generalization limits: findings from Nepal may not transfer to other countries with different regulatory, agent, or remittance structures. Computational complexity: fitting mixture models, bootstrap mediation, and IV-NB may be computationally intensive and require high-quality synthetic validation to debug pipelines.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