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assam_msme_generational_aspirations</w:t>
      </w:r>
    </w:p>
    <w:p>
      <w:r>
        <w:t xml:space="preserve"> </w:t>
      </w:r>
    </w:p>
    <w:p>
      <w:pPr>
        <w:pStyle w:val="Heading2"/>
      </w:pPr>
      <w:r>
        <w:t>Title</w:t>
      </w:r>
    </w:p>
    <w:p>
      <w:r>
        <w:t>Quantitative factor analysis, clustering, and multilevel regression of generational differences in work aspirations and job satisfaction among MSME employees in a tier-two city in Assam</w:t>
      </w:r>
    </w:p>
    <w:p>
      <w:r>
        <w:t xml:space="preserve"> </w:t>
      </w:r>
    </w:p>
    <w:p>
      <w:pPr>
        <w:pStyle w:val="Heading2"/>
      </w:pPr>
      <w:r>
        <w:t>Short Hypothesis</w:t>
      </w:r>
    </w:p>
    <w:p>
      <w:r>
        <w:t>Belonging to a younger generational cohort (millennial or Gen Z) causally increases an employee's aspiration-index score in Assam MSMEs compared with belonging to older cohorts (Gen X or Baby Boomers), after adjusting for firm size, sector, owner education, and other observed covariates.</w:t>
      </w:r>
    </w:p>
    <w:p>
      <w:r>
        <w:t xml:space="preserve"> </w:t>
      </w:r>
    </w:p>
    <w:p>
      <w:pPr>
        <w:pStyle w:val="Heading2"/>
      </w:pPr>
      <w:r>
        <w:t>Related Work</w:t>
      </w:r>
    </w:p>
    <w:p>
      <w:r>
        <w:t>Existing studies on workplace aspirations and job satisfaction use psychometric scale construction (exploratory and confirmatory factor analysis), segmentation via cluster analysis, and multilevel regression to account for nested data. Prior clustering approaches often rely on single methods (k-means only) without hierarchical pre-selection or internal validation, producing unstable segment solutions. Many psychometric studies omit measurement‑invariance testing (which checks that a scale measures the same construct across groups), limiting valid cohort comparisons. Causal claims about generational effects are usually observational with limited confounder adjustment or weak instruments; few use propensity-score weighting or pre-specified identification strategies. Regional evidence for Northeast India and tier-two cities is sparse; many samples are small, convenience-based, or registry-limited, reducing representativeness. Studies also often lack objective validation of self-reported digital adoption and do not report detailed missing-data or design-effect handling for clustered sampling.</w:t>
      </w:r>
    </w:p>
    <w:p>
      <w:r>
        <w:t xml:space="preserve"> </w:t>
      </w:r>
    </w:p>
    <w:p>
      <w:pPr>
        <w:pStyle w:val="Heading2"/>
      </w:pPr>
      <w:r>
        <w:t>Abstract</w:t>
      </w:r>
    </w:p>
    <w:p>
      <w:r>
        <w:t>This study addresses whether generational cohort membership predicts work aspirations and job satisfaction among employees in Assam’s MSME sector. Using a survey of MSME employees in a tier-two city (n=632), we (1) build and validate an aspiration index via factor analysis, (2) derive aspirational segments using hierarchical clustering followed by k-means refinement, and (3) estimate generational contrasts with multilevel regression that accounts for employees nested in firms and localities. Main contributions are a psychometrically validated aspiration measure with cross-cohort comparability, robust aspirational segmentation for HR targeting, and pre-specified analytic identification combining covariate adjustment and propensity-score weighting to estimate cohort effects. Expected outcomes are quantified effect estimates of generational differences in aspirations and job satisfaction, validated aspirational segments, and reproducible analysis code and pre-registration text to support policy-relevant HR strategies for regional MSMEs.</w:t>
      </w:r>
    </w:p>
    <w:p>
      <w:r>
        <w:t xml:space="preserve"> </w:t>
      </w:r>
    </w:p>
    <w:p>
      <w:pPr>
        <w:pStyle w:val="Heading2"/>
      </w:pPr>
      <w:r>
        <w:t>Experiments</w:t>
      </w:r>
    </w:p>
    <w:p>
      <w:r>
        <w:t>Dataset: primary survey n=632 MSME employees from a tier-two Assam city with firm and ward identifiers; auxiliary objective markers include GST registration flag, POS device presence, and broadband availability. Baselines: (A) naive pooled OLS using raw mean aspiration score without clustering; (B) single-method clustering (k-means alone) with pooled scoring; (C) single-level regression ignoring firm/ward nesting. Procedures and metrics: 1) Psychometrics: split sample 50/50. On sample A run Exploratory Factor Analysis (EFA) to select items (EFA = method that finds underlying factors). On sample B run Confirmatory Factor Analysis (CFA) to test factor structure; report CFI, RMSEA, TLI, and standardized loadings. Report Cronbach's alpha (internal consistency) and test–retest intraclass correlation (if reinterview available). 2) Measurement invariance: test configural, metric, scalar invariance across founder/ successor and gender groups; if full invariance fails, implement partial invariance and alignment (report ΔCFI and parameter shifts). 3) Aspirational segmentation: perform hierarchical clustering (Ward linkage) on factor scores to suggest k, then run k-means initialization and iterate; evaluate silhouette score, Calinski-Harabasz, and within-cluster SSE; compare to baseline single-method k-means. 4) Digital-adoption index: construct weighted intensity index (I = Σ w_j x_j where x_j are feature indicators and w_j pre-specified); validate against objective markers (GST flag, POS presence) using ROC AUC. 5) Primary causal test: pre-registered multilevel linear model Y_ij = β0 + β1 Gen_i + X_iγ + u_firm + u_ward + ε_ij where Y is standardized aspiration index, Gen indicator set (categorical), X covariates include firm size, sector, owner education, caste, credit access; u random intercepts at firm and ward levels; use cluster-robust SEs. Report β1 estimates, 95% CIs, ICCs, and R2. 6) Robustness and identification: (a) propensity-score weighting (logistic PS with covariates) and report standardized mean differences (SMD&lt;0.1 target); (b) attempt IV analysis using candidate instruments (local rollout timing of district digital-support program, pre-rollout broadband availability, historical registration policy variation) and report first-stage F-stat and overidentification tests; (c) firm fixed-effects on retrospective timelines where available. 7) Missing data: apply Multiple Imputation by Chained Equations (M=20 imputations) including auxiliary variables and clustering indicators; compare MI vs complete-case vs IPW. 8) Ablations: (i) aspiration scoring: compare mean-based score vs factor-score weighting; (ii) clustering: compare results when excluding digital-adoption from clustering; (iii) invariance approach: compare pooled scoring vs alignment-based scoring. Software and reproducibility: provide R and Stata scripts for EFA/CFA, clustering, multilevel models, PS weighting, MI, and pre-analysis plan; pre-register hypotheses and primary estimand before testing.</w:t>
      </w:r>
    </w:p>
    <w:p>
      <w:r>
        <w:t xml:space="preserve"> </w:t>
      </w:r>
    </w:p>
    <w:p>
      <w:pPr>
        <w:pStyle w:val="Heading2"/>
      </w:pPr>
      <w:r>
        <w:t>Risk Factors And Limitations</w:t>
      </w:r>
    </w:p>
    <w:p>
      <w:r>
        <w:t>1) Sample size and subgroup power: n=632 may be underpowered for fine-grained subgroup invariance tests (target n≥300 per subgroup may not be met), reducing ability to detect small cohort differences. 2) Measurement invariance failure: if scales do not hold across cohorts, cohort comparisons may be invalid. 3) Unobserved confounding: generational membership correlates with unmeasured factors (early-life exposures) that bias causal estimates; IVs may be weak or invalid. 4) Clustered design effects: higher-than-expected ICCs inflate variance and reduce effective sample size. 5) Self-report bias: social desirability or recall error can bias aspiration and digital-adoption reports; objective markers may be incomplete. 6) Nonresponse and missingness: differential nonresponse by sector or generation can bias estimates; MI assumptions may not hold. 7) Generalizability: findings from a single tier-two city in Assam may not extend to other regions or to larger urban centers. 8) Disclosure risk: detailed firm-level data increases re-identification risk for small cells, constraining public data release and analyses by external teams. 9) Implementation limits: limited field resources may prevent planned cognitive probes or test–retest reliability collection, weakening psychometric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