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true_pricing_presentation_experiment</w:t>
      </w:r>
    </w:p>
    <w:p>
      <w:r>
        <w:t xml:space="preserve"> </w:t>
      </w:r>
    </w:p>
    <w:p>
      <w:pPr>
        <w:pStyle w:val="Heading2"/>
      </w:pPr>
      <w:r>
        <w:t>Title</w:t>
      </w:r>
    </w:p>
    <w:p>
      <w:r>
        <w:t>Assessing the causal effect of numeric and relative true-price presentation formats on consumer food choices</w:t>
      </w:r>
    </w:p>
    <w:p>
      <w:r>
        <w:t xml:space="preserve"> </w:t>
      </w:r>
    </w:p>
    <w:p>
      <w:pPr>
        <w:pStyle w:val="Heading2"/>
      </w:pPr>
      <w:r>
        <w:t>Short Hypothesis</w:t>
      </w:r>
    </w:p>
    <w:p>
      <w:r>
        <w:t>Displaying a numeric true-price estimate (median plus 90% interval) at point of sale increases selection of lower-externality food products relative to showing relative information or no true-price information.</w:t>
      </w:r>
    </w:p>
    <w:p>
      <w:r>
        <w:t xml:space="preserve"> </w:t>
      </w:r>
    </w:p>
    <w:p>
      <w:pPr>
        <w:pStyle w:val="Heading2"/>
      </w:pPr>
      <w:r>
        <w:t>Related Work</w:t>
      </w:r>
    </w:p>
    <w:p>
      <w:r>
        <w:t>Prior work has studied environmental and health labeling, price framing, and uncertainty communication. Existing approaches compare simple labels (e.g., eco-badges or percent-savings) or single-number carbon labels and test small experimental samples. Studies of uncertainty disclosure often focus on comprehension in lab settings but rarely test behavioral choices at scale. Limitations include small samples, narrow populations, inconsistent disclosure formats, lack of standardized monetization of externalities, weak treatment of LCA uncertainty and covariance, limited pre-registered analysis plans, and negligible attention to privacy-noise effects. Few studies combine large-scale randomized choice tests with rigorous Monte Carlo uncertainty propagation, differential-privacy accounting, and off-policy estimation for rollout safety. Methods for estimator regularization (weight clipping), robustness to DP noise, and ABM calibration under realistic supply shocks remain under-explored.</w:t>
      </w:r>
    </w:p>
    <w:p>
      <w:r>
        <w:t xml:space="preserve"> </w:t>
      </w:r>
    </w:p>
    <w:p>
      <w:pPr>
        <w:pStyle w:val="Heading2"/>
      </w:pPr>
      <w:r>
        <w:t>Abstract</w:t>
      </w:r>
    </w:p>
    <w:p>
      <w:r>
        <w:t>We test whether showing computed "true prices"—retail price plus monetized external costs with uncertainty—changes consumer food choices. We combine product-level life-cycle externality estimates (with Monte Carlo uncertainty) and three pre-registered monetization bundles to produce median and 10–90% intervals, then randomize 1,400 Dutch and Danish consumers to presentation formats: numeric absolute (median ± interval), relative (%) change, or no information. We also run a lab subsample (N≈600) for deeper comprehension and incentivized willingness-to-pay (WTP) measures. Primary contribution: a causal estimate of how numeric uncertainty-aware true-price displays affect real choice and comprehension, plus a reproducible pipeline that links LCA Monte Carlo outputs to UX precision flags and to analysis methods (IPS, SNIPS, doubly robust). Expected outcome: clear, testable evidence about which presentation format moves choices toward lower-externality goods, how uncertainty display alters trust and comprehension, and how DP noise and estimator regularization change inference reliability.</w:t>
      </w:r>
    </w:p>
    <w:p>
      <w:r>
        <w:t xml:space="preserve"> </w:t>
      </w:r>
    </w:p>
    <w:p>
      <w:pPr>
        <w:pStyle w:val="Heading2"/>
      </w:pPr>
      <w:r>
        <w:t>Experiments</w:t>
      </w:r>
    </w:p>
    <w:p>
      <w:r>
        <w:t>Datasets: (1) Online survey-experiment sample N=1,400 stratified by country (Netherlands, Denmark), age, income decile, and numeracy; (2) Lab subsample N≈600 oversampled for low-numeracy and low-income strata; (3) Precomputed product-level P_true distributions from Monte Carlo (target 10,000 quasi-MC draws per product) under three monetization bundles (Conservative/Central/Aggressive) and covariance scenarios (empirical, independent, fully correlated). Randomization arms: A1 numeric absolute median only; A2 numeric absolute median + 10–90% interval (displayed when (p90−p10)/median ≤0.3 per precision_flag; otherwise qualitative "low precision" with toggle); A3 relative percent change label; A4 control (no true-price info). Ablations: remove interval (median-only) vs full interval; qualitative-only vs numeric-toggle; DP-noise ablation with public aggregate ε∈{0.1,1.0} and internal analysis ε up to 4. Baselines: current price-only UI and a simple eco-badge. Evaluation metrics: primary = choice share of lower-externality product in forced choice; secondary = incentivized WTP, comprehension quiz score, decision time, trust rating, conversion rate (field), and subgroup effects by income decile and numeracy. Analysis: intent-to-treat (ITT) estimates, IPW/IPS, self-normalized IPS (SNIPS), and doubly-robust estimators; importance-weight clipping at cap=10 or 99th percentile (report sensitivity); bootstrap CIs (1,000 resamples); multiplicity control (Holm for primary outcomes, BH-FDR for secondary). Power and MDE: lab N≈600 for Cohen's d≈0.25; field MDE target 2–3 percentage points for conversion (compute N from baseline). Monte Carlo calibration experiments: vary MC draw counts, QMC (Sobol) vs IID, control variates, and importance-sampling settings; report MC SE and Sobol discrepancy. Pre-registered diagnostics: effective sample size, weight variance, tail mass, interval coverage, DP impact on precision_flag flip rate. Reproducibility: containerized analysis, fixed seeds, and versioned data snapshots.</w:t>
      </w:r>
    </w:p>
    <w:p>
      <w:r>
        <w:t xml:space="preserve"> </w:t>
      </w:r>
    </w:p>
    <w:p>
      <w:pPr>
        <w:pStyle w:val="Heading2"/>
      </w:pPr>
      <w:r>
        <w:t>Risk Factors And Limitations</w:t>
      </w:r>
    </w:p>
    <w:p>
      <w:r>
        <w:t>Technical failure modes: Monte Carlo importance-sampling can produce high-variance weights or poor tail coverage; covariance misspecification may bias P_true intervals; DP noise may flip precision_flag and reduce interval utility. Data and measurement biases: self-reported WTP and online choice behavior may not generalize to real purchasing; sample population (Netherlands and Denmark) limits external validity. Scalability and compute limits: 10k-equivalent draws per product across large catalogs requires substantial CPU/GPU and memory; variance-reduction may fail in heavy-tail settings. Estimation risks: IPS/SNIPS weight instability, sensitivity to weight clipping, and model-dependence of doubly-robust estimators. Strategic and operational risks: sellers may change behavior in response to true-price displays (pass-through or hiding), and legal/regulatory constraints on claiming monetized external costs vary by jurisdiction. Ethical and fairness limits: disclosures may differentially influence low-income or low-numeracy groups, producing regressivity risks not captured by short experiments. Generalization limits: results may not hold in markets with different norms, price elasticities, or product mixes.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