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ai_levers_csr_morocco</w:t>
      </w:r>
    </w:p>
    <w:p>
      <w:r>
        <w:t xml:space="preserve"> </w:t>
      </w:r>
    </w:p>
    <w:p>
      <w:pPr>
        <w:pStyle w:val="Heading2"/>
      </w:pPr>
      <w:r>
        <w:t>Title</w:t>
      </w:r>
    </w:p>
    <w:p>
      <w:r>
        <w:t>Evaluating AI-enhanced management control levers for corporate social responsibility implementation and multidimensional performance in Moroccan financial institutions using PLS-SEM and causal inference</w:t>
      </w:r>
    </w:p>
    <w:p>
      <w:r>
        <w:t xml:space="preserve"> </w:t>
      </w:r>
    </w:p>
    <w:p>
      <w:pPr>
        <w:pStyle w:val="Heading2"/>
      </w:pPr>
      <w:r>
        <w:t>Short Hypothesis</w:t>
      </w:r>
    </w:p>
    <w:p>
      <w:r>
        <w:t>Deploying AI-enhanced management control levers (belief, boundary, diagnostic, interactive) causally increases overall performance (economic, social, environmental) through improved CSR implementation in Moroccan financial institutions compared with non-AI-enhanced controls.</w:t>
      </w:r>
    </w:p>
    <w:p>
      <w:r>
        <w:t xml:space="preserve"> </w:t>
      </w:r>
    </w:p>
    <w:p>
      <w:pPr>
        <w:pStyle w:val="Heading2"/>
      </w:pPr>
      <w:r>
        <w:t>Related Work</w:t>
      </w:r>
    </w:p>
    <w:p>
      <w:r>
        <w:t>Research on management control systems often uses Simons' levers of control to link organizational controls to strategy and performance. Reynaud's work adds stakeholder and normative dimensions to control analysis. Empirical CSR studies typically use structural equation modeling (often PLS-SEM) to estimate latent relationships between controls, CSR practices, and performance. Separately, applied AI in finance focuses on monitoring, anomaly detection, and predictive risk models, but rarely frames these tools explicitly as changes in management control levers. Causal-inference work (staggered difference-in-differences, synthetic control, instrumental variables, Double/Debiased ML, TMLE) addresses endogeneity and treatment timing but has not been widely combined with SEM for mediation in CSR contexts. Key gaps: limited empirical integration of AI as a formal modifier of control levers, few longitudinal studies in emerging markets (Morocco), persistent endogeneity and measurement-error risks, and sparse attention to fairness and governance when AI affects CSR decisions.</w:t>
      </w:r>
    </w:p>
    <w:p>
      <w:r>
        <w:t xml:space="preserve"> </w:t>
      </w:r>
    </w:p>
    <w:p>
      <w:pPr>
        <w:pStyle w:val="Heading2"/>
      </w:pPr>
      <w:r>
        <w:t>Abstract</w:t>
      </w:r>
    </w:p>
    <w:p>
      <w:r>
        <w:t>This study tests whether AI-enhanced management control levers strengthen corporate social responsibility (CSR) implementation and improve overall performance (economic, social, environmental) in Moroccan financial institutions. We combine Simons' levers of control with Reynaud's stakeholder perspective into an integrated conceptual framework, and operationalize AI tools (monitoring dashboards, anomaly detection, recommender systems, predictive risk models, and nudges) as measurable enhancements to belief, boundary, diagnostic, and interactive controls. We use a structured questionnaire for manager-level controls, institution-year panel financial and CSR data, and PLS-SEM (partial least squares structural equation modeling) to estimate latent relationships and mediation paths. To support causal claims, we complement SEM with staggered difference-in-differences, instrumental-variable checks, and causal‑ML methods (Double/Debiased ML, TMLE). Main contributions: formalizing AI as levers of control, quantifying mediated effects on multidimensional performance, and providing reproducible causal analysis for policy and managerial decisions. Expected outcome: evidence on whether and how AI tools embed CSR into governance and whether that embedding measurably raises financial and non-financial performance.</w:t>
      </w:r>
    </w:p>
    <w:p>
      <w:r>
        <w:t xml:space="preserve"> </w:t>
      </w:r>
    </w:p>
    <w:p>
      <w:pPr>
        <w:pStyle w:val="Heading2"/>
      </w:pPr>
      <w:r>
        <w:t>Experiments</w:t>
      </w:r>
    </w:p>
    <w:p>
      <w:r>
        <w:t>Datasets: 1) Institution-level panel: 25–35 Moroccan banks and insurers, annual data 2015–2023 (CSR spend MAD, green lending MAD, NPL%, ROA, ROE, market-to-book, disclosure quality index 0–100, internal-control index 0–1). 2) Loan-level sample from consenting banks: loan attributes, green tags, PD (probability of default), provisioning. 3) Structured questionnaire: manager responses on belief, boundary, diagnostic, interactive controls and AI-tool adoption. 4) Pilot stepped-wedge dataset: 12 institutions, 4 rollout periods (if available). Baselines: A) PLS-SEM with traditional controls (no AI variables). B) PLS-SEM adding AI adoption indicators. C) DiD staggered estimator without causal-ML. D) Causal-ML (Double ML) and TMLE estimators for ATT. Evaluation metrics: For SEM: path coefficients, p-values, bootstrapped 95% CI, R-squared for endogenous constructs, effect size f2. For causal estimands: ATT, 95% CI, MDE (minimum detectable effect), pre-trend p-values, balance metrics (standardized mean differences). For prediction components: RMSE and AUC for PD models. Fairness metrics: disparate impact ratio, subgroup calibration (slope/intercept), equalized odds. Experimental setup: Pre-register analysis plan and thresholds. Data preprocessing: impute item nonresponse with MICE (multiple imputation) and report complete-case sensitivity. Outlier rules: primary ±3 SD, alternative median absolute deviation (MAD) and Tukey fences for robustness. SEM estimation: PLS-SEM with 5,000 bootstrap resamples for inference. Causal pipelines: staggered DiD using Callaway &amp; Sant'Anna and Sun &amp; Abraham with firm and year fixed effects; compute event-study plots and pre-trend tests (require p&gt;0.20 primary). Instrument checks: pre-specified IVs (regional ESG mandates, donor funding intensity, program eligibility cutoffs); report first-stage F, LIML/Fuller when borderline, Anderson–Rubin CIs if weak. Causal-ML: cross-fitting K=5 with ensemble nuisance models (elastic net, random forest, XGBoost). Mediation: TMLE-based mediation estimates for internal-control index and stakeholder trust. Ablations: (1) drop AI variables from SEM, (2) remove internal-control mediator, (3) use alternative outlier rules, (4) exclude institutions with &gt;30% missing CSR items. Report all results with synthetic-data reproduction notebooks and Docker container.</w:t>
      </w:r>
    </w:p>
    <w:p>
      <w:r>
        <w:t xml:space="preserve"> </w:t>
      </w:r>
    </w:p>
    <w:p>
      <w:pPr>
        <w:pStyle w:val="Heading2"/>
      </w:pPr>
      <w:r>
        <w:t>Risk Factors And Limitations</w:t>
      </w:r>
    </w:p>
    <w:p>
      <w:r>
        <w:t>Endogeneity: unobserved time-varying confounders may bias causal estimates despite DiD/IV/causal-ML. Weak instruments: candidate IVs may have low first-stage strength causing unreliable IV estimates. Measurement error: CSR spend, disclosure quality, and AI-adoption survey responses may be noisy and attenuate effects. Missing data: limited item completeness for CSR line items could reduce sample and power. Sample size and power: 25–35 institutions may provide limited power to detect small effects, especially for subgroup analysis. Heterogeneous treatment effects: staggered treatments and dynamic effects can produce negative-weight bias in some estimators. External validity: findings may not generalize beyond Moroccan financial institutions or to other sectors/countries. AI model bias and fairness: AI tools may reflect historical biases, harming vulnerable groups. Regulatory/data access: banks or regulators may restrict access to detailed panels or loan-level data. Compute and reproducibility: causal-ML and simulation workloads require substantial compute and careful seeding to reproduce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