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green_finance_operational_bridge</w:t>
      </w:r>
    </w:p>
    <w:p>
      <w:r>
        <w:t xml:space="preserve"> </w:t>
      </w:r>
    </w:p>
    <w:p>
      <w:pPr>
        <w:pStyle w:val="Heading2"/>
      </w:pPr>
      <w:r>
        <w:t>Title</w:t>
      </w:r>
    </w:p>
    <w:p>
      <w:r>
        <w:t>Estimating green finance as an operational mediator between corporate social responsibility, top management support, innovation, and firm sustainability performance using structural equation modeling and panel causal inference</w:t>
      </w:r>
    </w:p>
    <w:p>
      <w:r>
        <w:t xml:space="preserve"> </w:t>
      </w:r>
    </w:p>
    <w:p>
      <w:pPr>
        <w:pStyle w:val="Heading2"/>
      </w:pPr>
      <w:r>
        <w:t>Short Hypothesis</w:t>
      </w:r>
    </w:p>
    <w:p>
      <w:r>
        <w:t>Increases in firm-level green finance intensity cause higher sustainability performance by mediating the positive effects of corporate social responsibility commitment and top management support through enhanced eco-innovation.</w:t>
      </w:r>
    </w:p>
    <w:p>
      <w:r>
        <w:t xml:space="preserve"> </w:t>
      </w:r>
    </w:p>
    <w:p>
      <w:pPr>
        <w:pStyle w:val="Heading2"/>
      </w:pPr>
      <w:r>
        <w:t>Related Work</w:t>
      </w:r>
    </w:p>
    <w:p>
      <w:r>
        <w:t>Prior empirical work links CSR, executive leadership, innovation, and sustainability using cross-sectional regressions, partial structural equation models, instrumental-variables (IV) designs, difference-in-differences (DiD), and synthetic-control methods. Cross-sectional SEM and PLS approaches map latent constructs but cannot separate within-firm temporal dynamics or rule out reverse causality. IV and DiD studies improve identification but often rely on weak instruments, limited pre-trend checks, or single-policy cases, and they rarely integrate mediation analysis over time. Synthetic-control methods provide case-specific counterfactuals but do not generalize well to many treated units. Existing studies also under-address measurement error in green finance (greenwashing) and fail to report power for mediation or interaction effects. In sum, limitations include endogeneity, weak/untested instruments, lack of longitudinal mediation estimation, poor measurement validation for green finance, and inadequate power analysis for mediated and moderated effects.</w:t>
      </w:r>
    </w:p>
    <w:p>
      <w:r>
        <w:t xml:space="preserve"> </w:t>
      </w:r>
    </w:p>
    <w:p>
      <w:pPr>
        <w:pStyle w:val="Heading2"/>
      </w:pPr>
      <w:r>
        <w:t>Abstract</w:t>
      </w:r>
    </w:p>
    <w:p>
      <w:r>
        <w:t>This study tests whether firm-level green finance acts as an operational bridge that translates corporate social responsibility (CSR) commitment and top management support (TMS) into improved sustainability performance via eco-innovation. We combine survey data from professionals across finance, energy/renewables, manufacturing, and agriculture with firm-level financial, patent (CPC Y02), and green-debt registry data. Our core approach uses structural equation modeling (SEM) to estimate mediation pathways (green finance → eco-innovation → sustainability) and complements SEM with panel causal methods—random-intercept cross-lagged panel models (RI-CLPM) to separate within- and between-firm effects, staggered DiD estimators for policy variation, and IV or synthetic-control where appropriate. Main contributions are (1) an integrated empirical pipeline that links validated measures of green finance to sequential mediation tests, (2) Monte Carlo–based power and MDE results for mediated and interaction effects, and (3) pre-specified measurement-error and attrition sensitivity analyses. Expected outcomes are defensible estimates of mediated causal effects and clear guidance on the detectability of policy and managerial interventions.</w:t>
      </w:r>
    </w:p>
    <w:p>
      <w:r>
        <w:t xml:space="preserve"> </w:t>
      </w:r>
    </w:p>
    <w:p>
      <w:pPr>
        <w:pStyle w:val="Heading2"/>
      </w:pPr>
      <w:r>
        <w:t>Experiments</w:t>
      </w:r>
    </w:p>
    <w:p>
      <w:r>
        <w:t>Datasets: (1) Primary survey dataset: 632 respondent-level observations on CSR depth and TMS across finance, energy, manufacturing, agriculture; (2) Firm-level panel financials (balance sheets, capex, debt) for sampled firms over up to 4 years; (3) Patent registry with CPC Y02 tagging and 5-year forward citations; (4) Green issuance registries (Climate Bonds, Bloomberg) and regional policy rollout dates. Baselines: (A) cross-sectional PLS-SEM (SmartPLS4); (B) pooled OLS and firm fixed effects (FE); (C) 2SLS IV using regional policy rollouts or tax incentives; (D) Callaway &amp; Sant’Anna staggered DiD and Sun &amp; Abraham event-study; (E) generalized synthetic control (gsynth) for single-strong-unit cases; (F) RI-CLPM for within-between decomposition. Evaluation metrics: mediated indirect effect size (ab) and standard error; standardized path coefficients (beta); SEM fit indices (RMSEA, CFI); first-stage F-stat and partial R2 for IV; placebo p-values and pre-trend slopes for DiD; coverage and bias in Monte Carlo sims; power/MDE tables. Experimental setup: preprocess panel (currency/fiscal alignment), impute missing values with MICE/jomo (m=50, predictive sets include size, prior outcomes, patents), cluster SEs at firm (wild-cluster bootstrap if clusters&lt;40). Primary analysis: RI-CLPM with lag=1 year (sensitivity 0–3 years) estimating green finance as mediator between CSR/TMS and sustainability; report within- and between-firm mediated effects. Comparisons/ablations: (1) remove TMS moderator to test moderated mediation; (2) replace green-finance measure: registry-verified intensity vs self-reported intensity; (3) apply measurement-error correction (SIMEX or regression calibration) vs no correction; (4) compare RI-CLPM results to cross-sectional PLS-SEM and FE mediation estimates. Reporting: provide Monte Carlo MDE tables, IV diagnostics, DiD event plots, and robustness panels for each ablation.</w:t>
      </w:r>
    </w:p>
    <w:p>
      <w:r>
        <w:t xml:space="preserve"> </w:t>
      </w:r>
    </w:p>
    <w:p>
      <w:pPr>
        <w:pStyle w:val="Heading2"/>
      </w:pPr>
      <w:r>
        <w:t>Risk Factors And Limitations</w:t>
      </w:r>
    </w:p>
    <w:p>
      <w:r>
        <w:t>Endogeneity and reverse causality between green finance and sustainability performance (technical failure of causal claim); weak or invalid instruments for IV estimation (identification failure); measurement error and greenwashing in green-finance indicators leading to attenuation bias (error in variables); survey nonresponse and nonrandom attrition (MNAR) reducing effective sample size and biasing estimates; limited number of clusters or countries causing unreliable cluster-robust inference and need for small-cluster adjustments; heterogeneity across sectors and countries limiting generalizability (external validity); insufficient power to detect small mediated or interaction effects despite Monte Carlo planning (statistical limitation); failures in linking survey respondents to firm-level panels due to missing identifiers (data integration risk); computational complexity for dynamic SEMs and gsynth with large panels (scalability constraint); qualitative–quantitative linkage may be infeasible under strict anonymization rules, constraining mechanism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