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innovation_capabilities_sme_idn</w:t>
      </w:r>
    </w:p>
    <w:p>
      <w:r>
        <w:t xml:space="preserve"> </w:t>
      </w:r>
    </w:p>
    <w:p>
      <w:pPr>
        <w:pStyle w:val="Heading2"/>
      </w:pPr>
      <w:r>
        <w:t>Title</w:t>
      </w:r>
    </w:p>
    <w:p>
      <w:r>
        <w:t>Estimating the causal effect of product, process, and market innovation capabilities on SME performance in East Java manufacturing using PLS-SEM and panel causal estimators</w:t>
      </w:r>
    </w:p>
    <w:p>
      <w:r>
        <w:t xml:space="preserve"> </w:t>
      </w:r>
    </w:p>
    <w:p>
      <w:pPr>
        <w:pStyle w:val="Heading2"/>
      </w:pPr>
      <w:r>
        <w:t>Short Hypothesis</w:t>
      </w:r>
    </w:p>
    <w:p>
      <w:r>
        <w:t>A one standard-deviation increase in a firm's latent innovation capability index (product + process + market) causes a positive increase in its annual sales growth.</w:t>
      </w:r>
    </w:p>
    <w:p>
      <w:r>
        <w:t xml:space="preserve"> </w:t>
      </w:r>
    </w:p>
    <w:p>
      <w:pPr>
        <w:pStyle w:val="Heading2"/>
      </w:pPr>
      <w:r>
        <w:t>Related Work</w:t>
      </w:r>
    </w:p>
    <w:p>
      <w:r>
        <w:t>Prior studies find positive links between innovation capabilities and SME performance, often reporting stronger effects for product and process innovation than for market innovation. Existing empirical strategies include difference-in-differences (DiD), dynamic panel GMM, instrumental variables (IV), and mixed-methods case work. Limitations in current work include: endogeneity from omitted time-varying factors and reverse causality, measurement error in self-reported innovation measures, weak or poorly justified instruments, problems with staggered DiD estimators under heterogeneous timing, small-cluster inference issues, limited linkage to administrative outcomes, and undercoverage of informal firms. Many studies use ad-hoc indices without formal latent-variable validation, reducing comparability. These gaps limit causal credibility and the ability to generalize findings to policy.</w:t>
      </w:r>
    </w:p>
    <w:p>
      <w:r>
        <w:t xml:space="preserve"> </w:t>
      </w:r>
    </w:p>
    <w:p>
      <w:pPr>
        <w:pStyle w:val="Heading2"/>
      </w:pPr>
      <w:r>
        <w:t>Abstract</w:t>
      </w:r>
    </w:p>
    <w:p>
      <w:r>
        <w:t>This study measures how three dimensions of firm innovation capability—product, process, and market—affect SME performance in the manufacturing subsectors of East Java, Indonesia. We collect firm-level survey data and construct a latent innovation capability index using PLS-SEM (partial least squares structural equation modeling), a method that estimates latent factors from multiple indicators. We test whether innovation capabilities raise performance (annual sales growth, labor productivity, share of sales from new products, and survival) and whether innovation outputs mediate capability effects. To support causal claims we estimate panel fixed-effects models, IV-FE with pre-specified instruments, staggered DiD/event-study designs for infrastructure and grant rollouts, and dynamic GMM for lagged effects. Main contributions are (1) validated latent measurement of innovation capabilities for SMEs, (2) a layered causal estimation strategy combining measurement and identification, and (3) evidence on which capability dimensions drive firm performance in an emerging-market manufacturing context. Results will inform SME innovation policy and measurement practices.</w:t>
      </w:r>
    </w:p>
    <w:p>
      <w:r>
        <w:t xml:space="preserve"> </w:t>
      </w:r>
    </w:p>
    <w:p>
      <w:pPr>
        <w:pStyle w:val="Heading2"/>
      </w:pPr>
      <w:r>
        <w:t>Experiments</w:t>
      </w:r>
    </w:p>
    <w:p>
      <w:r>
        <w:t>Datasets: primary cross-sectional panel survey of manufacturing SMEs in East Java (firm IDs, annual panels, innovation indicators for product/process/market, sales, employees, finance access); linked administrative outcomes where consent allows (tax-reported sales, payroll, exports); pilot and Monte Carlo simulation datasets for power and IV scenarios. Baselines: (A) PLS-SEM measurement model estimating latent factors for product, process, market capabilities and their measurement loadings; (B) firm fixed-effects regressions of log(sales), log(sales per employee), and survival on latent capability scores and controls; (C) IV-FE using pre-registered instruments (distance to technical universities, staggered Palapa Ring broadband timing, vocational school density, grant eligibility cutoffs); (D) staggered DiD/event-study with modern estimators (Callaway &amp; Sant’Anna primary, Sun &amp; Abraham as sensitivity); (E) Arellano-Bond/System GMM for dynamics. Evaluation metrics: standardized latent-factor loadings, factor reliability (composite reliability, Cronbach's alpha), RMSEA/CFI/TLI for fit, coefficient estimates and clustered SEs, bootstrap CIs for indirect effects, first-stage F-statistics and Kleibergen-Paap stats, placebo and pre-trend test p-values, MDE tables from power simulations, and concordance rates for linked admin data. Experimental setup: (1) Estimate PLS-SEM latent scores and test measurement invariance by firm size; (2) Run FE and IV-FE regressions with district-clustered SEs and district×year FE sensitivity; (3) Execute DiD/event-study with Callaway &amp; Sant’Anna as primary estimator and Sun &amp; Abraham for robustness; (4) Run GMM with lags 1–2 and report AR(2) and Hansen/Sargan; (5) Ablations: (i) drop each capability dimension in turn (product-only, process-only, market-only), (ii) replace PLS-SEM latent scores with simple PCA or summed indices, (iii) run reduced-form (instrument→outcome) vs IV estimates, (iv) simulate weak-IV cases varying first-stage R², intra-cluster correlation, and number of clusters. All inference reports include multiple-testing corrections by pre-specified hypothesis families (Romano–Wolf primary, Benjamini–Hochberg supplementary).</w:t>
      </w:r>
    </w:p>
    <w:p>
      <w:r>
        <w:t xml:space="preserve"> </w:t>
      </w:r>
    </w:p>
    <w:p>
      <w:pPr>
        <w:pStyle w:val="Heading2"/>
      </w:pPr>
      <w:r>
        <w:t>Risk Factors And Limitations</w:t>
      </w:r>
    </w:p>
    <w:p>
      <w:r>
        <w:t>Measurement error in self-reported innovation indicators can attenuate estimated effects and bias mediation; PLS-SEM assumptions may not fully correct this. Endogeneity: instruments may fail exclusion or be weak, reducing causal credibility. Small sample or few clusters (districts) can invalidate standard cluster inference and reduce power. Low linkage rates to administrative data (NPWP/NIB missing) will limit validation and may bias linked-sample estimates. Survey non-response and attrition can generate selection bias. Staggered treatment timing and treatment heterogeneity can complicate DiD interpretation if modern estimators are not correctly applied. Results from East Java manufacturing may not generalize to other sectors or regions, especially informal microfirms. Computational limits for GMM and bootstrap in small samples can produce unstable estimates. Public data release is constrained by privacy laws and may require synthetic data that reduces fidelity.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