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ewom_brandimage_purchase_herbal</w:t>
      </w:r>
    </w:p>
    <w:p>
      <w:r>
        <w:t xml:space="preserve"> </w:t>
      </w:r>
    </w:p>
    <w:p>
      <w:pPr>
        <w:pStyle w:val="Heading2"/>
      </w:pPr>
      <w:r>
        <w:t>Title</w:t>
      </w:r>
    </w:p>
    <w:p>
      <w:r>
        <w:t>Multilevel causal mediation analysis of electronic word-of-mouth effects on purchase intention for herbal cosmetics</w:t>
      </w:r>
    </w:p>
    <w:p>
      <w:r>
        <w:t xml:space="preserve"> </w:t>
      </w:r>
    </w:p>
    <w:p>
      <w:pPr>
        <w:pStyle w:val="Heading2"/>
      </w:pPr>
      <w:r>
        <w:t>Short Hypothesis</w:t>
      </w:r>
    </w:p>
    <w:p>
      <w:r>
        <w:t>Exposure to positive electronic word-of-mouth (eWOM) causally increases young consumers' purchase intention for herbal cosmetics, and this effect is mediated by an improved brand image.</w:t>
      </w:r>
    </w:p>
    <w:p>
      <w:r>
        <w:t xml:space="preserve"> </w:t>
      </w:r>
    </w:p>
    <w:p>
      <w:pPr>
        <w:pStyle w:val="Heading2"/>
      </w:pPr>
      <w:r>
        <w:t>Related Work</w:t>
      </w:r>
    </w:p>
    <w:p>
      <w:r>
        <w:t>Prior work divides into three strands: (1) survey-based structural models and PLS-SEM studies that estimate associations between eWOM, brand image, and purchase intention but are largely cross-sectional and do not identify causal mediation under interference; (2) large-scale NLP and observational studies that extract review features to predict sales or ratings but typically lack causal identification and do not propagate review-classifier uncertainty into effect estimates; and (3) experimental and cluster-randomized designs in marketing that address causal inference but often ignore text-derived mediators, fake-review misclassification, and small-cluster inference issues. Limitations across these approaches include reliance on correlational estimators, limited handling of spillovers (interference), weak or unvalidated fake-review treatment of text data, insufficient measurement-invariance checks for latent brand-image constructs across platforms/languages, and scarce pre-specified rules for small numbers of clusters or for propagating classifier error into mediation and ROI estimates.</w:t>
      </w:r>
    </w:p>
    <w:p>
      <w:r>
        <w:t xml:space="preserve"> </w:t>
      </w:r>
    </w:p>
    <w:p>
      <w:pPr>
        <w:pStyle w:val="Heading2"/>
      </w:pPr>
      <w:r>
        <w:t>Abstract</w:t>
      </w:r>
    </w:p>
    <w:p>
      <w:r>
        <w:t>This study measures how electronic word-of-mouth (eWOM) influences young consumers' purchase intention for herbal cosmetics and tests whether brand image mediates that effect. We combine a 482-respondent survey of purchase intention and three validated brand-image dimensions (functional, symbolic, experiential) with matched review-text, reviewer metadata, and transaction records. We use multilevel causal mediation methods to estimate average causal mediation effects (ACME) and average direct effects (ADE), and we explicitly model partial interference by defining block-level exposures (platform × product-category × week). We incorporate a validated fake-review classifier and propagate its uncertainty into mediation and revenue estimates via simulation. Main contributions are: (a) formalizing mediation estimands under clustering and block-level spillovers, (b) pre-specified classifier-performance gates and label-noise propagation into power/ROI, and (c) reproducible analysis and simulation scripts for sensitivity to ICC, misclassification, and attrition. Expected outcome: robust, testable estimates of how eWOM and brand image jointly affect purchase intention and an uncertainty-aware mapping from percentage-point lift to incremental revenue.</w:t>
      </w:r>
    </w:p>
    <w:p>
      <w:r>
        <w:t xml:space="preserve"> </w:t>
      </w:r>
    </w:p>
    <w:p>
      <w:pPr>
        <w:pStyle w:val="Heading2"/>
      </w:pPr>
      <w:r>
        <w:t>Experiments</w:t>
      </w:r>
    </w:p>
    <w:p>
      <w:r>
        <w:t>Datasets: (A) Survey: N=482 young online consumers measuring purchase intention (binary intent/likely), brand-image items for three factors, trust/authenticity mediators, demographics. (B) Review corpus: all reviews for the same herbal cosmetic SKUs and time window matched to survey sample; reviewer metadata and multimedia flags. (C) Transaction log: SKU-level conversions and AOV for matched users or cohorts. (D) Labeled fake-review dataset for classifier training/holdout (holdout &gt;=5% stratified by platform/product/language). Baselines: (1) PLS-SEM (SmartPLS) estimating paths eWOM→BI→PI without clustering adjustments; (2) single-level mediation (Imai-style) ignoring interference; (3) multilevel mediation (mixed-effects Imai) with cluster-robust SEs; (4) exposure-mapping estimators (Hajek-type) that report direct, spillover, and total effects. Evaluation metrics: primary outcome Δp = absolute percentage-point change in conversion; mediation metrics ACME/ADE with 95% CIs; model-fit for measurement models: RMSEA and CFI (report values), reliability: Cronbach's alpha and omega; classifier metrics: AUC, calibration slope, Brier score; cluster diagnostics: ICC and cluster-size CV; power outputs: MDE in pp and revenue-per-user estimates. Experimental setup: (a) Fit confirmatory factor analysis for three brand-image factors; require loadings &gt;=0.50 and alpha/omega &gt;=0.70. (b) Train fake-review classifier with stratified holdouts; require AUC&gt;=0.85, calibration slope 0.9-1.1, Brier&lt;=0.20. (c) Estimate PLS-SEM baseline, then multilevel mediation (mixed models) with treatment or exposure as predictor, mediator factor(s), and conversion outcome; use bootstrap 1000 resamples for CIs. (d) Estimate exposure-mapping for block-level spillovers and report direct/spillover/total. (e) Run ablations: (i) drop mediator, (ii) omit fake-review adjustment, (iii) trim top 5% and top 10% suspicious reviews, (iv) weight by predicted non-fake probability, (v) run multilevel mediation restricted to periods/blocks with negligible spillover. (f) Inference rules: use cluster-robust SEs when clusters per arm &gt;=20; if &lt;20 use cluster-level aggregation with permutation tests or wild-cluster bootstrap. (g) Simulation study: Monte Carlo grid varying p0 in {0.5%,2%,5%}, ICC in {0.01,0.03,0.05}, clusters per arm in {10,20,40}, effect sizes Δp in {0.5,1.0,1.5} pp, misclassification rates in {0%,5%,10%,20%}; run 2000 simulated datasets per cell with fixed RNG seeds {42,101,2026}; report power for ACME and Δp, bias due to misclassification, and MDE revenue mappings.</w:t>
      </w:r>
    </w:p>
    <w:p>
      <w:r>
        <w:t xml:space="preserve"> </w:t>
      </w:r>
    </w:p>
    <w:p>
      <w:pPr>
        <w:pStyle w:val="Heading2"/>
      </w:pPr>
      <w:r>
        <w:t>Risk Factors And Limitations</w:t>
      </w:r>
    </w:p>
    <w:p>
      <w:r>
        <w:t>Technical failure modes: small effective sample sizes or low baseline conversion (p0) reduce power; few clusters per arm (&lt;20) make mixed-model inference unreliable. Data and evaluation biases: self-reported purchase intention may not map perfectly to observed conversion; sample of 482 limits subgroup inference. Classifier risks: concept drift or adversarial manipulation of reviews will degrade fake-review detection; labeled-data may not represent all platforms/languages. Measurement limits: latent brand-image factors may fail metric or scalar invariance across languages/platforms, limiting comparability. Causal limits: mediation identification assumes no unmeasured mediator–outcome confounders conditional on covariates and cluster effects; interference complicates standard ACME/ADE interpretation and may require restricting mediation to low-spillover blocks. Missing data and attrition: MNAR mechanisms (missing not at random) can bias estimates if unmodeled. Scalability and compute: bootstrapped multilevel mediation and large simulation grids require moderate compute resources (parallelization recommended). Legal/ethical constraints: platform rules may limit experimental manipulations of reviews or reviewer badges, constraining identification strategies.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