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green_utaud_repo_use</w:t>
      </w:r>
    </w:p>
    <w:p>
      <w:r>
        <w:t xml:space="preserve"> </w:t>
      </w:r>
    </w:p>
    <w:p>
      <w:pPr>
        <w:pStyle w:val="Heading2"/>
      </w:pPr>
      <w:r>
        <w:t>Title</w:t>
      </w:r>
    </w:p>
    <w:p>
      <w:r>
        <w:t>A multigroup PLS-SEM analysis of technological and psychosocial determinants of digital repository use in Malaysian technical universities</w:t>
      </w:r>
    </w:p>
    <w:p>
      <w:r>
        <w:t xml:space="preserve"> </w:t>
      </w:r>
    </w:p>
    <w:p>
      <w:pPr>
        <w:pStyle w:val="Heading2"/>
      </w:pPr>
      <w:r>
        <w:t>Short Hypothesis</w:t>
      </w:r>
    </w:p>
    <w:p>
      <w:r>
        <w:t>Higher perceived system quality and a stronger green attitude cause increased actual use of institutional digital repositories among staff and students, with perceived usefulness mediating this effect.</w:t>
      </w:r>
    </w:p>
    <w:p>
      <w:r>
        <w:t xml:space="preserve"> </w:t>
      </w:r>
    </w:p>
    <w:p>
      <w:pPr>
        <w:pStyle w:val="Heading2"/>
      </w:pPr>
      <w:r>
        <w:t>Related Work</w:t>
      </w:r>
    </w:p>
    <w:p>
      <w:r>
        <w:t>Technology-acceptance models such as TAM and UTAUT are commonly used to explain adoption of information systems; they focus on psychosocial constructs like perceived usefulness (PU), perceived ease of use (PEOU), social influence (SI), and facilitating conditions. Extensions of UTAUT that add domain-specific attitudes (e.g., environmental or green attitudes) exist but are limited in the repository context. Prior studies often rely on self-report survey data, single-group analyses, and reflective measurement only. Many use covariance-based SEM (CB-SEM) or simpler regressions; a subset use PLS-SEM for smaller samples or formative constructs. Key limitations in existing work: reliance on subjective measures without objective system metrics (server logs), limited multigroup invariance testing, small or underpowered samples for multigroup comparisons, weak handling of clustered data and multilevel missingness, and sparse preregistered power/sensitivity analyses. These gaps reduce confidence in claims about technological versus psychosocial drivers and in cross-group (staff vs student vs librarian) generalizability.</w:t>
      </w:r>
    </w:p>
    <w:p>
      <w:r>
        <w:t xml:space="preserve"> </w:t>
      </w:r>
    </w:p>
    <w:p>
      <w:pPr>
        <w:pStyle w:val="Heading2"/>
      </w:pPr>
      <w:r>
        <w:t>Abstract</w:t>
      </w:r>
    </w:p>
    <w:p>
      <w:r>
        <w:t>We study whether technological quality and psychosocial factors influence actual use of institutional digital repositories in Malaysian technical universities. Building on UTAUT, we add a green attitude construct and combine self-report survey measures with objective repository metrics (uptime, latency, metadata completeness, OAI harvest success) to form a technological composite. We apply multigroup partial-least-squares SEM (PLS-SEM) with mediation tests (perceived usefulness as mediator) and permutation-based invariance (MICOM) across user roles. The main contribution is an integrated, preregistered design that links objective technical indicators with psychosocial acceptance factors and evaluates group differences. Expected outcomes are: (1) quantified direct and indirect effects of technological and psychosocial predictors on actual use, (2) evidence on the mediating role of perceived usefulness, and (3) multigroup comparisons revealing whether determinants differ between faculty, postgraduate students, and librarians. Results will inform repository design, policy, and training priorities in technical universities.</w:t>
      </w:r>
    </w:p>
    <w:p>
      <w:r>
        <w:t xml:space="preserve"> </w:t>
      </w:r>
    </w:p>
    <w:p>
      <w:pPr>
        <w:pStyle w:val="Heading2"/>
      </w:pPr>
      <w:r>
        <w:t>Experiments</w:t>
      </w:r>
    </w:p>
    <w:p>
      <w:r>
        <w:t>Datasets: 1) Survey data from staff, postgraduate students, and librarians across Malaysian Technical University Network (stratified sampling by role and repository maturity); target per-group N=200–250 where feasible; note available pilot/full sample N used will be reported. 2) Repository server logs (DSpace/Fedora) harmonized across sites: monthly uptime %, median and 90th percentile response time (ms), session-level search success rate (downloads per search session), metadata completeness (%) and OAI-PMH harvest success rate. Baselines: A) original UTAUT model (PU, PEOU, SI, FC → Behavioral Intention/Use); B) extended UTAUT + green attitude; C) extended UTAUT + objective tech composite (tech composite treated as formative). Models to estimate: 1) Full PLS-SEM with mediation PU mediating tech and psychosocial predictors to Actual Use (AU). 2) Multigroup PLS-SEM across roles with MICOM invariance and permutation tests. 3) Ablations: remove green attitude; remove tech composite; alternative tech composite as reflective. 4) Estimation comparison: PLS-SEM (bootstrap 5000 resamples, seed fixed) vs CB-SEM where N and assumptions permit; Bayesian SEM as sensitivity. Evaluation metrics: standardized path coefficients (betas) with 95% bootstrap CIs, R^2 for endogenous constructs, f^2 effect sizes, SRMR (for PLS), composite reliability (CR), AVE, HTMT (&lt;0.85) for discriminant validity, VIF for formative indicators (&lt;3.3 threshold). Power and sensitivity: Monte Carlo simulations (1000 replications per scenario, fixed seeds archived) to report minimal detectable effects (MDE) per key path and per-group sample rules. Missing data and clustering: report ICCs, apply design-effect adjustments DE=1+(m-1)*ICC, and run multilevel MI if ICC≥0.05; otherwise use cluster-robust SEs. Pre-specified comparisons: test difference in SYSQ→PU and PU→AU between groups; report permutation p-values and effect-size differences. Reproducibility: archive scripts, seeds, and a minimal toy dataset to reproduce core pipelines.</w:t>
      </w:r>
    </w:p>
    <w:p>
      <w:r>
        <w:t xml:space="preserve"> </w:t>
      </w:r>
    </w:p>
    <w:p>
      <w:pPr>
        <w:pStyle w:val="Heading2"/>
      </w:pPr>
      <w:r>
        <w:t>Risk Factors And Limitations</w:t>
      </w:r>
    </w:p>
    <w:p>
      <w:r>
        <w:t>Technical failure modes: inconsistent or incomplete server logs across institutions, timestamp mismatches, or inability to extract harmonized metrics. Data biases: self-selection in surveys, social-desirability in green-attitude items, and undercoverage of some user roles. Sample-size limits: multigroup CB-SEM may be underpowered if per-group N &lt;200; small cluster counts limit multilevel inference. Measurement limits: formative tech composite may suffer multicollinearity among indicators (high VIF) or poor external convergent validity. Missing-data risks: clustered missingness and MNAR patterns could bias estimates if not modeled correctly. Privacy and governance: PDPA constraints may restrict log linkage or reduce available detail. Generalizability: findings are specific to Malaysian technical university contexts and repository platforms used (DSpace/Fedora) and may not transfer to other countries or repository software. Analytical trade-offs: switching from CB-SEM to PLS-SEM changes estimands (prediction-focused vs covariance-consistent parameters) and complicates interpretation across methods.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