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muslim_travel_tpb_marketingmix</w:t>
      </w:r>
    </w:p>
    <w:p>
      <w:r>
        <w:t xml:space="preserve"> </w:t>
      </w:r>
    </w:p>
    <w:p>
      <w:pPr>
        <w:pStyle w:val="Heading2"/>
      </w:pPr>
      <w:r>
        <w:t>Title</w:t>
      </w:r>
    </w:p>
    <w:p>
      <w:r>
        <w:t>Multilevel structural equation analysis of Indonesian Muslim travelers' intentions to visit non‑Muslim tourist destinations using the Theory of Planned Behavior and marketing mix variables</w:t>
      </w:r>
    </w:p>
    <w:p>
      <w:r>
        <w:t xml:space="preserve"> </w:t>
      </w:r>
    </w:p>
    <w:p>
      <w:pPr>
        <w:pStyle w:val="Heading2"/>
      </w:pPr>
      <w:r>
        <w:t>Short Hypothesis</w:t>
      </w:r>
    </w:p>
    <w:p>
      <w:r>
        <w:t>Higher perceived Muslim‑friendliness of a non‑Muslim destination causes an increase in Indonesian Muslim travelers' stated intention to visit, controlling for attitude, subjective norm, perceived behavioral control, and religiosity.</w:t>
      </w:r>
    </w:p>
    <w:p>
      <w:r>
        <w:t xml:space="preserve"> </w:t>
      </w:r>
    </w:p>
    <w:p>
      <w:pPr>
        <w:pStyle w:val="Heading2"/>
      </w:pPr>
      <w:r>
        <w:t>Related Work</w:t>
      </w:r>
    </w:p>
    <w:p>
      <w:r>
        <w:t>Prior studies show that halal food availability and perceived halal risk influence Muslim travel choices, and many studies apply the Theory of Planned Behavior (TPB) to predict travel intentions. Marketing research on tourism has used the 4Ps (product, price, place, promotion) to explain demand, but work combining TPB and the marketing mix is limited. Existing approaches often rely on single‑item or unidimensional religiosity measures, small convenience samples, and direct self‑report items vulnerable to social desirability bias. Cross‑language and cross‑site measurement invariance are rarely tested rigorously, reducing confidence in comparisons. Methods for sensitive items (e.g., list experiments, randomized response) are underused and underpowered in past work. Prior mediation claims often lack formal sensitivity analyses for unmeasured confounding and rarely embed multilevel (context/policy) moderators. These gaps limit causal claims, external validity, and reliable scale use across cultural subgroups.</w:t>
      </w:r>
    </w:p>
    <w:p>
      <w:r>
        <w:t xml:space="preserve"> </w:t>
      </w:r>
    </w:p>
    <w:p>
      <w:pPr>
        <w:pStyle w:val="Heading2"/>
      </w:pPr>
      <w:r>
        <w:t>Abstract</w:t>
      </w:r>
    </w:p>
    <w:p>
      <w:r>
        <w:t>This study examines what drives Indonesian Muslim travelers' intentions to visit non‑Muslim tourist destinations by integrating the Theory of Planned Behavior (TPB) with marketing mix (4Ps) variables and a multidimensional religiosity measure. We collect questionnaire data and test a multilevel latent structural equation model that places individual psychological predictors (attitude, subjective norm, perceived behavioral control), perceived Muslim‑friendliness (product/service cues), and marketing levers (pricing, access, promotion visibility) as determinants of intention, with religiosity as a distal predictor and mediator. Main contributions are (1) validated multidimensional religiosity and perceived‑friendliness scales with cross‑language invariance checks, (2) direct comparison of TPB‑only, marketing‑only, and integrated models, and (3) prespecified mediation and sensitivity analyses to assess causal robustness. Expected outcomes are precise estimates of direct and indirect effects that inform which service cues and marketing mix elements most strongly change intentions, and reproducible measurement tools for future research and policy evaluation.</w:t>
      </w:r>
    </w:p>
    <w:p>
      <w:r>
        <w:t xml:space="preserve"> </w:t>
      </w:r>
    </w:p>
    <w:p>
      <w:pPr>
        <w:pStyle w:val="Heading2"/>
      </w:pPr>
      <w:r>
        <w:t>Experiments</w:t>
      </w:r>
    </w:p>
    <w:p>
      <w:r>
        <w:t>Datasets: (A) existing pilot survey (N=361 Indonesian Muslim respondents) for initial psychometrics; (B) planned powered survey (target N=1,000–1,200) stratified by gender, religiosity quintile, and region; optional linked opt‑in booking data if consented. Baselines: (1) TPB‑only latent SEM (attitude, subjective norm, PBC → intention); (2) Marketing‑mix only regression (4Ps → intention); (3) Combined latent SEM (TPB + perceived Muslim‑friendliness + 4Ps). Evaluation metrics: R2 of intention (explained variance), standardized path coefficients, indirect effect sizes with bootstrap 95% CIs, RMSEA, CFI, TLI for model fit (RMSEA = root mean square error of approximation; lower is better; CFI/TLI = comparative fit indices; higher is better), McDonald's omega for scale reliability (omega is a consistency measure; higher is better), and ΔCFI/ΔRMSEA for invariance. Experimental setup: 1) Psychometric validation on pilot: EFA → CFA; require omega &gt; 0.70 and standardized loadings &gt; 0.40; report fit (RMSEA&lt;0.06, CFI/TLI&gt;0.95). 2) Measurement invariance: multigroup CFA across language/region; flag ΔCFI&gt;0.01 or ΔRMSEA&gt;0.015. 3) Main estimation: multilevel latent SEM with individuals nested in regions; include random intercepts for intention and perceived friendliness and random slopes for religiosity; include country/region policy index at level‑2 if available; estimate with Mplus or lavaan; report bootstrapped CIs and Bayesian checks. 4) Mediation tests: estimate total, direct, and indirect effects (bootstrap CI) of religiosity → perceived friendliness → intention; run Imai mediation sensitivity and report E‑values. 5) Comparative ablations: remove perceived‑friendliness latent factor, remove marketing mix predictors, and run nested model comparisons (ΔR2, AIC/BIC, likelihood ratio tests). 6) Sensitive‑item measurement: run list experiment in a random subsample (pretest n≥200 per language) and compare list estimates to direct item means; simulate detection limits under floor/ceiling rates. 7) Monte Carlo power sims: scenarios with ICCs = {0.01,0.05,0.10}, reliabilities = {0.7,0.8}, response rates = {0.5,0.7}, and noncompliance = {0%,20%}; determine required N to detect indirect effects of 0.05–0.10 and random‑slope effects; target overall N≈1,000–1,200 and subgroup N≈200–300. 8) Subgroup analyses: split by gender and religiosity quintiles; report effect heterogeneity and test moderated mediation.</w:t>
      </w:r>
    </w:p>
    <w:p>
      <w:r>
        <w:t xml:space="preserve"> </w:t>
      </w:r>
    </w:p>
    <w:p>
      <w:pPr>
        <w:pStyle w:val="Heading2"/>
      </w:pPr>
      <w:r>
        <w:t>Risk Factors And Limitations</w:t>
      </w:r>
    </w:p>
    <w:p>
      <w:r>
        <w:t>Social desirability and reporting bias: respondents may underreport religion‑linked avoidance; list/RRT may have floor/ceiling limits. Measurement noninvariance: scales may not be equivalent across language or subgroups, reducing comparability. Sample size and power: pilot N=361 is underpowered for small indirect effects and random slopes; planned N may still be affected by nonresponse. Missing data and MNAR risk: item nonresponse linked to religiosity or immigration status can bias estimates. External validity: findings from Indonesian respondents may not generalize to other Muslim populations. Causal limits: observational mediation relies on sequential ignorability and sensitivity analyses; unmeasured confounding may remain. Legal and participant risk: participation could expose vulnerable respondents (e.g., undocumented migrants) to risk if data are mishandled. Experimental realism: vignette or cue manipulations may not reflect real booking behavior. Computational limits: multilevel SEM with many latent variables can be slow and require specialized software and expertise.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