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ssbba_kedah_selection_model</w:t>
      </w:r>
    </w:p>
    <w:p>
      <w:r>
        <w:t xml:space="preserve"> </w:t>
      </w:r>
    </w:p>
    <w:p>
      <w:pPr>
        <w:pStyle w:val="Heading2"/>
      </w:pPr>
      <w:r>
        <w:t>Title</w:t>
      </w:r>
    </w:p>
    <w:p>
      <w:r>
        <w:t>Bayesian regression-calibrated scoring model for Sharia-compliant participant selection in the Kedah SSBBA program</w:t>
      </w:r>
    </w:p>
    <w:p>
      <w:r>
        <w:t xml:space="preserve"> </w:t>
      </w:r>
    </w:p>
    <w:p>
      <w:pPr>
        <w:pStyle w:val="Heading2"/>
      </w:pPr>
      <w:r>
        <w:t>Short Hypothesis</w:t>
      </w:r>
    </w:p>
    <w:p>
      <w:r>
        <w:t>Applying an additive scoring rubric corrected by regression-calibration and Bayesian uncertainty propagation, plus a 25% reserved quota for priority groups, will reduce the exclusion error for eligible asnaf beneficiaries by at least 10 percentage points and raise positive predictive value (PPV) to at least 70% compared to the uncalibrated self-report scoring baseline in the SSBBA pilot.</w:t>
      </w:r>
    </w:p>
    <w:p>
      <w:r>
        <w:t xml:space="preserve"> </w:t>
      </w:r>
    </w:p>
    <w:p>
      <w:pPr>
        <w:pStyle w:val="Heading2"/>
      </w:pPr>
      <w:r>
        <w:t>Related Work</w:t>
      </w:r>
    </w:p>
    <w:p>
      <w:r>
        <w:t>Existing approaches to social assistance targeting include proxy means tests (simple scorecards using observed household indicators), uncalibrated additive score rubrics, and administrative-rule reserves for priority groups. Research on measurement error shows that self-reported income and debt bias eligibility unless corrected; common corrections use regression-calibration (a statistical method that models true values from noisy reports using a validation sample) or full Bayesian measurement models (which quantify uncertainty by drawing from probability distributions). Fairness work adds subgroup constraints or reserved quotas to protect vulnerable groups but often lacks integrated uncertainty quantification. Spatial methods use aggregated geographic proxies (e.g., nightlight intensity) to improve coverage but can risk stigmatization if published at fine scale. Privacy-preserving methods (secure multi-party computation, differential privacy) have strong protections but high cost and latency for operational pilots. Limitations in current methods are: reliance on uncorrected self-report, weak propagation of uncertainty into final decisions, inconsistent validation sampling under cluster designs, sparse integration of spatial uncertainty, and practical privacy/cost tradeoffs for pilot deployments.</w:t>
      </w:r>
    </w:p>
    <w:p>
      <w:r>
        <w:t xml:space="preserve"> </w:t>
      </w:r>
    </w:p>
    <w:p>
      <w:pPr>
        <w:pStyle w:val="Heading2"/>
      </w:pPr>
      <w:r>
        <w:t>Abstract</w:t>
      </w:r>
    </w:p>
    <w:p>
      <w:r>
        <w:t>This study addresses fair and Sharia-compliant selection of asnaf beneficiaries in the Kedah SSBBA program by combining measurement-error calibration, Bayesian uncertainty propagation, spatial context, and explicit subgroup protections. We propose an operational pipeline: an additive 0–100 scorecard with deterministic identity/residency gate, regression-calibration estimated from a validation subsample to correct noisy self-reports (income, assets, debt), and Bayesian posterior draws to propagate uncertainty into eligibility probabilities. Spatial mukim-level covariates (administrative records and satellite proxies) act as contextual modifiers. A deterministic reserve ensures at least 25% of slots for priority groups (elderly-headed, disability, high debt). We evaluate the pipeline in a clustered pilot (600 households, 30×20) with a 90–150 linked-pair validation subsample and compare against uncalibrated scoring, proxy-means tests, and constrained-optimization variants. The main contribution is a reproducible, audit-ready selection method that reports eligibility with credible intervals, formalizes fairness constraints, and yields measurable improvements in exclusion and inclusion errors while preserving operational feasibility in a PDPA context.</w:t>
      </w:r>
    </w:p>
    <w:p>
      <w:r>
        <w:t xml:space="preserve"> </w:t>
      </w:r>
    </w:p>
    <w:p>
      <w:pPr>
        <w:pStyle w:val="Heading2"/>
      </w:pPr>
      <w:r>
        <w:t>Experiments</w:t>
      </w:r>
    </w:p>
    <w:p>
      <w:r>
        <w:t>Datasets: (1) Kedah administrative records: eKasih/JKM and historical zakat beneficiary lists (anonymized), (2) pilot household survey n=600 (30 clusters × 20 households), (3) validation subsample of linked pairs n=90–150 (12–25% of pilot) matched by salted NRIC + name + DOB + mukim, (4) mukim/village shapefiles and VIIRS nightlight satellite composites. Baselines: (A) uncalibrated additive scorecard (specified weights: income 35, assets 20, debt 15, vulnerability 20, identity gate=10), (B) proxy means test (PMP) built from PCA of assets, (C) constrained-optimization selection (minimize misclassification subject to subgroup minima), (D) reserve-only rule (25% priority slots without calibration). Metrics: exclusion error (false negatives), inclusion error (false positives), false negative rate (FNR), positive predictive value (PPV), subgroup coverage deviation, calibration slope (for continuous true vs predicted), AUC, and 95% credible/confidence intervals. Experimental setup: 1) Implement regression-calibration: fit log(true_income+1)=α+β·log(reported_income+1)+γX on validation pairs; apply calibrated inputs to scoring. (Regression-calibration is a statistical correction using paired true and reported measures.) 2) Bayesian propagation: sample posterior draws of α,β,σ to obtain eligibility probability distributions per household; report median and 95% credible intervals (a credible interval is a Bayesian range where the parameter likely lies). 3) Cross-validation: perform cluster-aware 5-fold cross-validation (folds at cluster level) to evaluate out-of-sample performance and compute DEFF-adjusted standard errors (DEFF = 1+(m−1)ICC; ICC is intra-cluster correlation). 4) Monte Carlo simulations: vary match-rate (60%,75%,90%), measurement-error slope β (±0.2 around estimate), and prevalence scenarios to estimate KPI distributions and determine statistical significance. 5) Ablations: compare full pipeline vs (i) no calibration, (ii) calibration without Bayesian propagation (point estimates only), (iii) without GIS modifier, (iv) reserve vs constrained-optimization. 6) Statistical tests: report bootstrap CIs clustered by mukim, compare methods via paired differences in exclusion error and PPV with two-sided cluster-robust t-tests, and present decision thresholds tuned to achieve PPV≥70 where feasible.</w:t>
      </w:r>
    </w:p>
    <w:p>
      <w:r>
        <w:t xml:space="preserve"> </w:t>
      </w:r>
    </w:p>
    <w:p>
      <w:pPr>
        <w:pStyle w:val="Heading2"/>
      </w:pPr>
      <w:r>
        <w:t>Risk Factors And Limitations</w:t>
      </w:r>
    </w:p>
    <w:p>
      <w:r>
        <w:t>Technical failure modes: low validation match-rate (e.g., &lt;60%) reduces ability to estimate calibration slopes; heavy non-random misreporting (MNAR) can bias calibration. Data biases: administrative lists may be incomplete or outdated, and satellite proxies can misrepresent local livelihoods (e.g., farming areas with low nightlight but adequate income). Clustered design limits effective sample size via DEFF and may widen confidence intervals for subgroup estimates. Computational limits: full Bayesian posterior sampling can be slow for large-scale deployment, affecting turnaround for eligibility decisions. Privacy/legal constraints: PDPA or agency MoU delays may prevent timely linkage or force smaller validation samples. Generalization: model and priors tuned for Kedah SSBBA may not generalize to other states or programs without re-validation. Social risks: aggregated spatial outputs may still cause local stigma if miscommunicated, and appeals/manual override processes may introduce inconsistent human bias. Measurement limits: reserve-based fairness (25% quota) can trade overall accuracy for subgroup coverage and may create allocation tensions if demand greatly exceeds slots.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