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teapot_design_physio_cred</w:t>
      </w:r>
    </w:p>
    <w:p>
      <w:r>
        <w:t xml:space="preserve"> </w:t>
      </w:r>
    </w:p>
    <w:p>
      <w:pPr>
        <w:pStyle w:val="Heading2"/>
      </w:pPr>
      <w:r>
        <w:t>Title</w:t>
      </w:r>
    </w:p>
    <w:p>
      <w:r>
        <w:t>A multimodal moderated-mediation structural equation modeling study of how teapot design, affective physiology, and brand credibility influence repurchase intention in the China/Asia–Pacific market</w:t>
      </w:r>
    </w:p>
    <w:p>
      <w:r>
        <w:t xml:space="preserve"> </w:t>
      </w:r>
    </w:p>
    <w:p>
      <w:pPr>
        <w:pStyle w:val="Heading2"/>
      </w:pPr>
      <w:r>
        <w:t>Short Hypothesis</w:t>
      </w:r>
    </w:p>
    <w:p>
      <w:r>
        <w:t>Immediate affective physiological responses to teapot design disconfirmation mediate the causal effect of disconfirmation on post-use satisfaction, and higher brand credibility weakens the negative impact of disconfirmation on satisfaction, leading to higher repurchase intention.</w:t>
      </w:r>
    </w:p>
    <w:p>
      <w:r>
        <w:t xml:space="preserve"> </w:t>
      </w:r>
    </w:p>
    <w:p>
      <w:pPr>
        <w:pStyle w:val="Heading2"/>
      </w:pPr>
      <w:r>
        <w:t>Related Work</w:t>
      </w:r>
    </w:p>
    <w:p>
      <w:r>
        <w:t>Prior work links product design, consumer satisfaction, affective reactions, and brand credibility to repeat purchases. Separate streams use self-report surveys to model satisfaction-driven repurchase; other studies apply physiological measures (heart rate variability, skin conductance, facial EMG, pupillometry) to index immediate affective responses. Limitations: (1) Few studies combine high-frequency physiological signals with validated latent-outcome models; (2) existing work often aggregates physiology at the participant level, creating time-scale mismatch with event-locked affect; (3) small samples and weak preregistration limit power for mediation and moderation tests; (4) brand credibility is typically measured by self-report only and rarely randomized as an experimental cue; (5) causal identification is often correlational without instrumental/DSEM strategies. These gaps leave open whether immediate physiological affect explains how design novelty and credibility jointly shape satisfaction and repurchase.</w:t>
      </w:r>
    </w:p>
    <w:p>
      <w:r>
        <w:t xml:space="preserve"> </w:t>
      </w:r>
    </w:p>
    <w:p>
      <w:pPr>
        <w:pStyle w:val="Heading2"/>
      </w:pPr>
      <w:r>
        <w:t>Abstract</w:t>
      </w:r>
    </w:p>
    <w:p>
      <w:r>
        <w:t>We address whether immediate affective physiology explains how teapot design and brand credibility shape consumers' repurchase intention in the China/Asia–Pacific market. We combine event-locked high-frequency physiological measures (heart-rate variability, skin conductance, facial EMG, pupil responses) with validated surveys and randomized brand credibility cues in lab and field settings. The core method is a preregistered multimodal moderated-mediation analysis using multilevel structural equation models (SEM) and dynamic SEM (DSEM) for longitudinal data. Main contribution: a reproducible pipeline that aligns fast physiological responses to slower HRV baselines, constructs a psychometrically validated physiological latent mediator, and quantifies how credibility moderates disconfirmation→satisfaction effects on repurchase. Expected outcome: a testable model showing whether physiological affect mediates design-disconfirmation impacts and when brand credibility buffers negative effects, informing both theory on affective mechanisms in consumer choice and practical design/branding strategies.</w:t>
      </w:r>
    </w:p>
    <w:p>
      <w:r>
        <w:t xml:space="preserve"> </w:t>
      </w:r>
    </w:p>
    <w:p>
      <w:pPr>
        <w:pStyle w:val="Heading2"/>
      </w:pPr>
      <w:r>
        <w:t>Experiments</w:t>
      </w:r>
    </w:p>
    <w:p>
      <w:r>
        <w:t>Datasets: recruit N=700 participants across China/Asia–Pacific. Lab subsample with full sensors n=300; longitudinal EMA field sample n=700 with physiological sensor subset n=300. Link purchase records (objective repurchase) where opt-in consent allows. Design: 2x2 between-subject randomization (design performance: expected vs disconfirmed) × (brand credibility: high vs low). Event markers at unboxing, pour-start, first-sip (hardware TTL). Sensors: ECG 1000 Hz (HRV RMSSD; HF power 0.15–0.40 Hz), EDA ≥200 Hz (phasic SCR peak 1–5 s post-event), facial EMG 1000 Hz (corrugator, zygomaticus), pupillometry 250–500 Hz (peak 0.5–2 s). Preprocessing and artifact thresholds per preregistered pipelines (e.g., SCR threshold 0.05 µS, HRV segments ≥120 s clean). Measures: disconfirmation (latent difference between expectation and performance), immediate affect latent composite (physiophysiology), post-use satisfaction (latent), repurchase intention (continuous Likert) and objective purchase (binary). Baselines: (A) SEM with self-report only (no physiology), (B) SEM with single-modality physiology, (C) ML predictive model (random forest) using all predictors. Evaluation metrics: indirect effect significance (bootstrapped 5,000 CIs), standardized path coefficients (beta), SEM fit indices (CFI≥0.95, RMSEA≤0.06, SRMR≤0.08), AUC for binary repurchase, RMSE for continuous intent, McDonald’s omega for latent reliability, sensor synchronization metrics (mean offset ≤2 ms, SD ≤5 ms). Statistical analysis: primary multilevel SEM (events nested in persons) with latent-difference mediation and brand-credibility moderation; secondary DSEM for EMA time series. Ablations: remove physiological composite; replace composite with each modality alone; compare latent-difference vs residual-change operationalizations; test multilevel SEM vs DSEM. Missing data: primary FIML; sensitivity: multiple imputation (MICE) and inverse-probability weighting. Pre-registration artifacts: Monte Carlo code and logs, preprocessing scripts, TTL validation logs, SEM code.</w:t>
      </w:r>
    </w:p>
    <w:p>
      <w:r>
        <w:t xml:space="preserve"> </w:t>
      </w:r>
    </w:p>
    <w:p>
      <w:pPr>
        <w:pStyle w:val="Heading2"/>
      </w:pPr>
      <w:r>
        <w:t>Risk Factors And Limitations</w:t>
      </w:r>
    </w:p>
    <w:p>
      <w:r>
        <w:t>Multilevel timing mismatch: fast event measures (SCR, pupil, EMG) may not align cleanly with slower HRV windows, complicating per-event composites. Sensor failures and non-responders (e.g., low EDA responders) can reduce usable sample and bias results. At-home field deployments increase clock-drift and synchronization challenges across devices. EMA noncompliance or clustered missingness (device dropouts concentrated in subgroups) can violate MAR assumptions and reduce power. Subgroup moderator tests (culture, tea expertise, ritual intensity) may be underpowered even with N=700. Linking to objective purchase data requires consent and may produce selection bias. Instruments proposed for causal identification (coupons, shipping delays) risk weak first stages and invalid exclusion restrictions. GDPR and cross-jurisdiction data rules limit raw signal sharing, restricting external reproducibility. Findings may not generalize beyond ritualized tea-set consumers or other product categories.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