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ias12_16_36_deferred_tax_pls_sem</w:t>
      </w:r>
    </w:p>
    <w:p>
      <w:r>
        <w:t xml:space="preserve"> </w:t>
      </w:r>
    </w:p>
    <w:p>
      <w:pPr>
        <w:pStyle w:val="Heading2"/>
      </w:pPr>
      <w:r>
        <w:t>Title</w:t>
      </w:r>
    </w:p>
    <w:p>
      <w:r>
        <w:t>PLS-SEM analysis of how IAS 12 deferred taxes interact with IAS 16 depreciation and IAS 36 impairment to affect financial statement presentation and corporate tax planning</w:t>
      </w:r>
    </w:p>
    <w:p>
      <w:r>
        <w:t xml:space="preserve"> </w:t>
      </w:r>
    </w:p>
    <w:p>
      <w:pPr>
        <w:pStyle w:val="Heading2"/>
      </w:pPr>
      <w:r>
        <w:t>Short Hypothesis</w:t>
      </w:r>
    </w:p>
    <w:p>
      <w:r>
        <w:t>Higher incidence of component-to-CGU allocation mismatch (misalignment between IAS 16 component depreciation and IAS 36 cash-flow units) causes a statistically significant increase in the magnitude of deferred tax asset/liability measurement errors and materially changes reported effective tax rate and profit before tax.</w:t>
      </w:r>
    </w:p>
    <w:p>
      <w:r>
        <w:t xml:space="preserve"> </w:t>
      </w:r>
    </w:p>
    <w:p>
      <w:pPr>
        <w:pStyle w:val="Heading2"/>
      </w:pPr>
      <w:r>
        <w:t>Related Work</w:t>
      </w:r>
    </w:p>
    <w:p>
      <w:r>
        <w:t>Existing work studies IAS 12, IAS 16 and IAS 36 largely in isolation or via descriptive mappings. Prior approaches focus on rule‐based reconstructions (tax base formulas), single-jurisdiction case studies, sensitivity analyses of discount rates, and ad hoc allocation heuristics (carrying-amount weighting or equal-weight allocation). Limitations include small or non-representative samples, weak cross-jurisdiction treatment of tax-rule heterogeneity (capital gains vs ordinary income, recapture), limited empirical causal inference, and few studies using structural models that link depreciation, impairment and deferred tax outcomes. Work on audit-readiness emphasizes documentation and ETL practices but lacks empirical validation of allocation algorithms or probability-weighted recovery models. No widely adopted empirical framework combines componentisation algorithms, mixed-recovery (use vs sale) modelling, and multivariate causal estimation across multiple jurisdictions.</w:t>
      </w:r>
    </w:p>
    <w:p>
      <w:r>
        <w:t xml:space="preserve"> </w:t>
      </w:r>
    </w:p>
    <w:p>
      <w:pPr>
        <w:pStyle w:val="Heading2"/>
      </w:pPr>
      <w:r>
        <w:t>Abstract</w:t>
      </w:r>
    </w:p>
    <w:p>
      <w:r>
        <w:t>This study quantifies how component-level depreciation (IAS 16) and impairment grouping (IAS 36) interact with deferred tax accounting (IAS 12) to change financial statement presentation and corporate tax planning metrics. We apply partial least squares structural equation modeling (PLS-SEM), a statistical method that estimates relationships between latent constructs using observed indicators, to accounting and tax-attribute data from 50 small/medium-venue asset-intensive firms over 2022–2024. The contribution is an operational framework that (1) measures component-to-CGU alignment, depreciation and impairment practices as latent factors, (2) models their causal paths to deferred tax measurement errors, effective tax rate and reported profit, and (3) evaluates alternative allocation algorithms and mixed-recovery scenario treatments. Expected outcomes are quantified path coefficients, goodness-of-fit statistics, and comparative impacts of allocation choices, producing reproducible guidance for preparers and auditors about when allocation procedures materially affect deferred tax balances and disclosure.</w:t>
      </w:r>
    </w:p>
    <w:p>
      <w:r>
        <w:t xml:space="preserve"> </w:t>
      </w:r>
    </w:p>
    <w:p>
      <w:pPr>
        <w:pStyle w:val="Heading2"/>
      </w:pPr>
      <w:r>
        <w:t>Experiments</w:t>
      </w:r>
    </w:p>
    <w:p>
      <w:r>
        <w:t>Dataset: accounting and tax register extracts for 50 SMV-listed asset-intensive companies (years 2022–2024). Required fields: asset_id, component_id, CGU_id, acquisition_cost, accumulated_depreciation, carrying_amount, tax_base, enacted_tax_rate, expected_disposal_date, recovery_assumption, projected_cashflows (by year), discount_rate, revaluation_reserve, impairment_history, jurisdiction_code, model_version, signoff_id. Preprocessing: ETL harmonization, MICE (multiple imputation by chained equations) for missing cash flows, winsorize extreme values at 1st/99th percentiles. Primary model: PLS-SEM (partial least squares structural equation modeling) with latent constructs: Depreciation_Policy (indicators: average depreciation rate, revaluation_use, useful_life variance), Impairment_Practice (impairment_frequency, impairment_magnitude, CGU_size variance), CGU_Component_Alignment (prevalence of mismatch, %components aggregated), DeferredTax_Error (absolute DTA/DTL difference vs reconciled tax base), and Tax_Planning_Outcome (effective tax rate, deferred tax volatility). Estimation: bootstrap 5000 resamples for path significance, compute R2 for endogenous constructs, report SRMR (model fit). Controls: jurisdiction and industry as grouping variables; run multi-group analysis. Baselines: (A) carrying-amount weighted allocation, (B) equal-weight allocation, (C) cash-flow-weighted allocation (preferred). Ablation studies: (1) remove mixed-recovery scenario weighting and use expected-value only; (2) omit CGU_Component_Alignment latent factor; (3) compare MICE vs listwise deletion. Evaluation metrics: path coefficient significance (p&lt;0.05), change in DeferredTax_Error mean and median, absolute change in ETR, % of CGUs where impairment conclusion flips under alternative allocations, SRMR &lt;0.08 target, R2 for DeferredTax_Error. Power and sensitivity: report detectable effect sizes given sample and compute ICC sensitivity for clustered inference. Reproducibility: provide code, ETL scripts, synthetic dataset replicates, and model seeds.</w:t>
      </w:r>
    </w:p>
    <w:p>
      <w:r>
        <w:t xml:space="preserve"> </w:t>
      </w:r>
    </w:p>
    <w:p>
      <w:pPr>
        <w:pStyle w:val="Heading2"/>
      </w:pPr>
      <w:r>
        <w:t>Risk Factors And Limitations</w:t>
      </w:r>
    </w:p>
    <w:p>
      <w:r>
        <w:t>Data quality and completeness: missing or inconsistent component cash flows, tax-basis records, or signed tax returns can bias measurements. Small sample size: 50 firms limits external generalization and reduces power for subgroup analyses; PLS-SEM may overfit with many indicators. Measurement error: proxies (carrying-amount weighting) can misrepresent true cash-flow contributions. Jurisdictional heterogeneity: tax-rule differences (recapture, capital gain vs ordinary income, withholding) may limit pooled inference. Model assumptions: PLS-SEM estimates causal paths but does not prove causation; omitted-variable bias or incorrect latent indicator definitions can distort path estimates. Computational limits: bootstrap with many resamples and Monte Carlo scenario engines (mixed-recovery) may be time-consuming. Audit and legal constraints: access to reconciled tax returns or confidential tax rulings may be restricted, preventing gold‑standard validation of DeferredTax_Error. Generalization: results from asset-intensive SMV firms and 2022–2024 period may not hold for large multinationals or different years.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