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ecm_sharia_mobile_indonesia</w:t>
      </w:r>
    </w:p>
    <w:p>
      <w:r>
        <w:t xml:space="preserve"> </w:t>
      </w:r>
    </w:p>
    <w:p>
      <w:pPr>
        <w:pStyle w:val="Heading2"/>
      </w:pPr>
      <w:r>
        <w:t>Title</w:t>
      </w:r>
    </w:p>
    <w:p>
      <w:r>
        <w:t>PLS-SEM analysis of the Expectation Confirmation Model extended with religiosity and digital literacy to explain continuance intention for Sharia mobile banking in Indonesia</w:t>
      </w:r>
    </w:p>
    <w:p>
      <w:r>
        <w:t xml:space="preserve"> </w:t>
      </w:r>
    </w:p>
    <w:p>
      <w:pPr>
        <w:pStyle w:val="Heading2"/>
      </w:pPr>
      <w:r>
        <w:t>Short Hypothesis</w:t>
      </w:r>
    </w:p>
    <w:p>
      <w:r>
        <w:t>Perceived Sharia compliance increases user satisfaction, which in turn increases continuance intention, and this mediated effect is stronger for users with higher religiosity.</w:t>
      </w:r>
    </w:p>
    <w:p>
      <w:r>
        <w:t xml:space="preserve"> </w:t>
      </w:r>
    </w:p>
    <w:p>
      <w:pPr>
        <w:pStyle w:val="Heading2"/>
      </w:pPr>
      <w:r>
        <w:t>Related Work</w:t>
      </w:r>
    </w:p>
    <w:p>
      <w:r>
        <w:t>Expectation Confirmation Model (ECM) has been widely applied to post-adoption behavior in digital banking to link confirmation → perceived usefulness → satisfaction → continuance. Prior work in mobile banking and Islamic (Sharia) finance has extended ECM by adding trust, risk, and habit, but most studies use cross-sectional surveys, small or convenience samples, and omit religiosity or digital literacy as formal external factors. Studies that examine Sharia compliance often rely on single-item measures or qualitative signals rather than validated multi-item scales, and few conduct measurement invariance across geographic subgroups. Methodological weaknesses include limited power calculations for mediated or moderated effects, rare use of Monte‑Carlo simulations for clustered samples, scant integration of behavioral logs due to privacy constraints, and sparse application of Bayesian robustness checks and differential-privacyaware data sharing. These gaps limit causal claims, cross-group comparability, and reproducibility in the current literature.</w:t>
      </w:r>
    </w:p>
    <w:p>
      <w:r>
        <w:t xml:space="preserve"> </w:t>
      </w:r>
    </w:p>
    <w:p>
      <w:pPr>
        <w:pStyle w:val="Heading2"/>
      </w:pPr>
      <w:r>
        <w:t>Abstract</w:t>
      </w:r>
    </w:p>
    <w:p>
      <w:r>
        <w:t>This study investigates what drives continued use of Sharia mobile banking in Indonesia by extending the Expectation Confirmation Model (ECM) to include Perceived Sharia Compliance (PSC), religiosity, and digital literacy. We collect a purposive, stratified survey of Indonesian Sharia mobile banking users (target N=600) and, where possible, anonymized usage logs for a subsample. We estimate a structural model using PLS-SEM (a component-based method for estimating complex relationships between measured items and latent constructs) and test serial mediation (confirmation → perceived usefulness → satisfaction → continuance) with PSC as a domain antecedent and religiosity as a moderator of the PSC→satisfaction path. We pre-register Monte‑Carlo power checks for mediation and moderated mediation, perform measurement invariance tests across Java/non‑Java and urban/rural groups, and run Bayesian sensitivity analyses. Main contributions are: (1) empirical evidence on how religiosity and digital literacy shape post-adoption continuance in Sharia mobile banking, (2) validated PSC measurement adapted to the Indonesian context, and (3) a reproducible analysis pipeline and data-governance protocol for combining survey and behavioral log data. Expected outcomes include robust estimates of effect sizes and actionable insights for Sharia banks on compliance signals that support retention.</w:t>
      </w:r>
    </w:p>
    <w:p>
      <w:r>
        <w:t xml:space="preserve"> </w:t>
      </w:r>
    </w:p>
    <w:p>
      <w:pPr>
        <w:pStyle w:val="Heading2"/>
      </w:pPr>
      <w:r>
        <w:t>Experiments</w:t>
      </w:r>
    </w:p>
    <w:p>
      <w:r>
        <w:t>Datasets: 1) Main survey: stratified purposive sample of Sharia mobile banking users in Indonesia, target N=600, strata: Java vs non-Java, urban vs rural, religiosity tertiles; questionnaire includes ECM constructs, PSC scale, digital literacy, DUREL religiosity items, trust, risk, habit. 2) Optional logs: bank-provided anonymized fields for opt-in subsample: user_hash, session_id, UTC timestamp, event_type, transaction_type, transaction_amount (binned), session_length, device_type, app_version, province_code. Baselines: A) Standard ECM (confirmation→usefulness→satisfaction→continuance) without PSC/digital literacy; B) ECM + PSC (no moderator); C) ECM + PSC + digital literacy (no moderator); D) Full model with religiosity moderator. Ablation: remove PSC, remove digital literacy, and compare PLS-SEM vs CB-SEM and Bayesian estimation. Evaluation metrics: path coefficients and 95% bias-corrected bootstrap CIs (5,000 resamples); R2 of endogenous constructs (usefulness, satisfaction, continuance); effect sizes (standardized betas); indirect effect size and significance; index of moderated mediation and region-of-significance; measurement diagnostics: composite reliability (CR&gt;0.70), AVE&gt;0.50, HTMT&lt;0.85; invariance tests: ΔCFI ≤0.01, ΔRMSEA ≤0.015, ΔSRMR thresholds for metric/scalar. Experimental setup: 1) Preprocess: translation, cognitive testing, pilot (n~50) for item refinement, handle missing via FIML in SEM or multilevel MI if clustering requires. 2) Monte‑Carlo power checks: scenarios with ICC∈{0.02,0.05}, cluster size m∈{20,40}, N=600, draws=2000, assumed paths a=0.25, b=0.25, c'=0.15, satisfaction→continuance=0.30, target R2: usefulness≈0.20, satisfaction≈0.30, continuance≈0.35, random seed=12345. 3) Estimate measurement model (PLS-SEM) and structural paths; run bootstrapped mediation and moderated mediation tests; cross-validate with CB-SEM where item distributions allow; 4) Conduct invariance tests across strata and report multi-group comparisons; 5) Ablation comparisons and sensitivity with Bayesian priors Normal(0.25, sd=0.10) and alternative skeptical/optimistic priors.</w:t>
      </w:r>
    </w:p>
    <w:p>
      <w:r>
        <w:t xml:space="preserve"> </w:t>
      </w:r>
    </w:p>
    <w:p>
      <w:pPr>
        <w:pStyle w:val="Heading2"/>
      </w:pPr>
      <w:r>
        <w:t>Risk Factors And Limitations</w:t>
      </w:r>
    </w:p>
    <w:p>
      <w:r>
        <w:t>Nonresponse and sampling bias from purposive recruitment may limit representativeness and require heavy weighting. Effect sizes may be small; actual power for moderated indirects can be lower than for simple indirects, risking false negatives. Banks may deny access to usage logs, forcing reliance on self-report with recall bias. Measurement invariance may fail across regions or religiosity groups, limiting valid comparisons. PSC indicators may be collinear or ambiguous between formative and reflective specifications, causing identification issues. Missing data may be clustered and MNAR (not missing at random), which complicates imputation. Differential-privacy constraints or legal rules may reduce the utility of shared synthetic logs. Findings will generalize primarily to Indonesian Sharia mobile banking and similar cultural contexts, not necessarily to other countries or non-Sharia banking environments.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