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markup_product_differentiation_airlines</w:t>
      </w:r>
    </w:p>
    <w:p>
      <w:r>
        <w:t xml:space="preserve"> </w:t>
      </w:r>
    </w:p>
    <w:p>
      <w:pPr>
        <w:pStyle w:val="Heading2"/>
      </w:pPr>
      <w:r>
        <w:t>Title</w:t>
      </w:r>
    </w:p>
    <w:p>
      <w:r>
        <w:t>A markup-decomposition framework integrating product differentiation to analyze profitability dynamics in the U.S. airline industry</w:t>
      </w:r>
    </w:p>
    <w:p>
      <w:r>
        <w:t xml:space="preserve"> </w:t>
      </w:r>
    </w:p>
    <w:p>
      <w:pPr>
        <w:pStyle w:val="Heading2"/>
      </w:pPr>
      <w:r>
        <w:t>Short Hypothesis</w:t>
      </w:r>
    </w:p>
    <w:p>
      <w:r>
        <w:t>Increases in product differentiation (measured by bundle depth and ancillary availability) cause higher firm-level markups, holding marginal costs and route-level demand shocks constant.</w:t>
      </w:r>
    </w:p>
    <w:p>
      <w:r>
        <w:t xml:space="preserve"> </w:t>
      </w:r>
    </w:p>
    <w:p>
      <w:pPr>
        <w:pStyle w:val="Heading2"/>
      </w:pPr>
      <w:r>
        <w:t>Related Work</w:t>
      </w:r>
    </w:p>
    <w:p>
      <w:r>
        <w:t>Existing approaches fall into three clusters: (1) structural demand-supply models for differentiated products (e.g., random-coefficients discrete-choice and BLP-style methods) that estimate price elasticities and recover markups but typically omit detailed product unbundling dynamics; (2) markup-decomposition or frontier methods (building on Lovell-style decompositions) that partition profitability changes but rarely incorporate fine-grained product attributes; and (3) dynamic pricing and inventory models (dynamic discrete-choice, control-function approximations) that account for forward-looking behavior but are computationally expensive at scale. Limitations: demand-side BLP estimators often ignore ancillaries and inventory dynamics, leading to biased markups when product mixes shift; decomposition frameworks lack a transparent way to attribute markup change to product features; instrument-based identification in this setting struggles with exclusion restrictions and weak instruments; and dynamic DDC methods do not scale easily to many routes or long panels. These gaps leave the role of product differentiation in markup trends unresolved and vulnerable to measurement and identification error.</w:t>
      </w:r>
    </w:p>
    <w:p>
      <w:r>
        <w:t xml:space="preserve"> </w:t>
      </w:r>
    </w:p>
    <w:p>
      <w:pPr>
        <w:pStyle w:val="Heading2"/>
      </w:pPr>
      <w:r>
        <w:t>Abstract</w:t>
      </w:r>
    </w:p>
    <w:p>
      <w:r>
        <w:t>We introduce a transparent markup-decomposition framework that explicitly integrates product differentiation to explain firm-level profitability dynamics in the U.S. airline industry. The method decomposes year-to-year markup changes into components attributable to price frontier shifts, product-attribute changes (bundling and ancillaries), cost movements, and demand composition. We combine high-frequency inventory snapshots with route-level instruments that plausibly shift supply (slot reallocations, runway constraints, capacity caps) and a control-function approximation for forward-looking pricing; a focused dynamic discrete-choice pilot bounds dynamic bias. The main contributions are (1) a practical decomposition that quantifies how much differentiation drives markup growth, (2) pre-registered identification rules and diagnostics for instruments and measurement errors, and (3) reproducible synthetic-data artifacts that mirror identification strength without exposing licensed inputs. Applying the framework to two decades of U.S. airline route data across multiple carriers yields interpretable attribution of markup changes and informs policy counterfactuals on slot policy, merger effects, and ancillary regulation.</w:t>
      </w:r>
    </w:p>
    <w:p>
      <w:r>
        <w:t xml:space="preserve"> </w:t>
      </w:r>
    </w:p>
    <w:p>
      <w:pPr>
        <w:pStyle w:val="Heading2"/>
      </w:pPr>
      <w:r>
        <w:t>Experiments</w:t>
      </w:r>
    </w:p>
    <w:p>
      <w:r>
        <w:t>Datasets: DB1B itinerary bookings (route-day), T-100 capacity/block-hour records, carrier financials, DOT/airport slot records, FAA NOTAMs (runway closures), Sabre/OTA scraped fares and ancillary offers, and event calendars (rollouts, outages, policy dates). Sample: panel of ~20 U.S. carriers over ~2000–2020 (route-day and higher-frequency snapshots for a 3-month pilot on 5–10 routes). Baselines: (A) standard BLP random-coefficients demand with multi-product Bertrand supply but without product-differentiation term, (B) Lovell-style decomposition without explicit product attributes, (C) static Bertrand with naive cost proxies. Proposed model: markup-decomposition with explicit product-attribute term, control-function inventory correction, and sensitivity to conduct (Ω) mappings. Instruments: primary set (slot reallocations, runway-capacity shocks) and secondary set (OTA outages, temporary airport caps) pre-labelled. Evaluation metrics: first-stage F-statistics, Anderson-Rubin p-values for IV robustness, RMSE of seat-proxy vs DB1B, bias and coverage of markup estimates in Monte Carlo, change in consumer surplus and producer profits under counterfactuals, and runtime/convergence diagnostics (contraction residuals, gradient norms). Experimental setup: (1) Estimate baselines and proposed model on full panel; report markup decompositions annually by carrier. (2) Ablation 1: drop product-attribute term to measure attribution shift. (3) Ablation 2: replace control-function with focused DDC estimates on the pilot routes and compare markup differences; report approximation error (difference between CF and DDC). (4) Conduct sensitivity grid: alternative Ω mappings (codeshare-as-bundled, alliances grouped, OTA multi-homing treated as separate seller) and instrument sets (primary only vs primary+secondary). (5) Monte Carlo experiments: simulate measurement error in seat proxies and weak-IV scenarios to assess estimator bias, SIMEX correction performance, and CI coverage; pre-specify minimum detectable effect (MDE) = 5% relative markup change with 80% power at α=0.05, using pilot variance to confirm full-sample power. (6) Pre-registered subgroup analyses: business vs leisure routes, loyalty-tier-heavy routes, and hub-dominant vs competitive routes with multiple-testing correction (Benjamini-Hochberg at 5%).</w:t>
      </w:r>
    </w:p>
    <w:p>
      <w:r>
        <w:t xml:space="preserve"> </w:t>
      </w:r>
    </w:p>
    <w:p>
      <w:pPr>
        <w:pStyle w:val="Heading2"/>
      </w:pPr>
      <w:r>
        <w:t>Risk Factors And Limitations</w:t>
      </w:r>
    </w:p>
    <w:p>
      <w:r>
        <w:t>Instrument invalidity: exclusion restrictions may fail if slot or runway events affect demand (directly or via publicity); this would bias IV-based attribution. Measurement error: seats_sold and ancillary take-up are proxies and can be mismeasured, producing biased markups; SIMEX and IV may not fully correct in finite samples. Conduct mis-specification: mapping codeshares, alliances, interline tickets, and OTA multi-homing into the ownership matrix Ω is error-prone and can materially change markups; alternative mappings reduce but do not eliminate this risk. Dynamics complexity: full DDC models may be computationally infeasible at scale, so control-function approximations may leave residual dynamic bias. Compute and scalability: large BLP runs require cluster resources; time and budget may limit exhaustive sensitivity grids. External validity: results from U.S. routes and 20 carriers may not generalize to other markets or time periods. Multiple-testing and subgroup analysis: many sensitivity checks increase false discovery risk despite corrections. Synthetic-data fidelity: synthetic releases may not perfectly preserve identification strength, limiting external replication of exact inference.</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