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caats_tam_computer_literacy</w:t>
      </w:r>
    </w:p>
    <w:p>
      <w:r>
        <w:t xml:space="preserve"> </w:t>
      </w:r>
    </w:p>
    <w:p>
      <w:pPr>
        <w:pStyle w:val="Heading2"/>
      </w:pPr>
      <w:r>
        <w:t>Title</w:t>
      </w:r>
    </w:p>
    <w:p>
      <w:r>
        <w:t>SEM-PLS analysis of Technology Acceptance Model determinants of CAATs adoption and the moderating effect of computer literacy on financial audit task effectiveness</w:t>
      </w:r>
    </w:p>
    <w:p>
      <w:r>
        <w:t xml:space="preserve"> </w:t>
      </w:r>
    </w:p>
    <w:p>
      <w:pPr>
        <w:pStyle w:val="Heading2"/>
      </w:pPr>
      <w:r>
        <w:t>Short Hypothesis</w:t>
      </w:r>
    </w:p>
    <w:p>
      <w:r>
        <w:t>Perceived usefulness and perceived ease of use increase CAATs adoption, and higher CAATs adoption leads to greater improvements in financial audit task effectiveness for auditors with higher computer literacy than for auditors with lower computer literacy.</w:t>
      </w:r>
    </w:p>
    <w:p>
      <w:r>
        <w:t xml:space="preserve"> </w:t>
      </w:r>
    </w:p>
    <w:p>
      <w:pPr>
        <w:pStyle w:val="Heading2"/>
      </w:pPr>
      <w:r>
        <w:t>Related Work</w:t>
      </w:r>
    </w:p>
    <w:p>
      <w:r>
        <w:t>Prior work shows that computer-assisted audit techniques (CAATs) and related analytic tools can improve auditor accuracy, efficiency, and decision quality. Technology Acceptance Model (TAM) constructs — perceived usefulness (PU) and perceived ease of use (PEOU) — have commonly explained software adoption across domains, and some studies apply TAM to audit technologies. Existing approaches mainly use manifest (direct survey) measures, simple regressions, or basic structural models. Limitations include small or convenience samples, reliance on self-reported computer literacy (which risks measurement error), weak handling of clustered data (firm-level clustering), few studies that model computer literacy as a latent moderator combining self-report and objective tasks, limited use of telemetry to detect contamination, and scarce preregistered composite outcome definitions. Methods that ignore measurement error in moderators can bias interaction estimates and understate power for interaction tests.</w:t>
      </w:r>
    </w:p>
    <w:p>
      <w:r>
        <w:t xml:space="preserve"> </w:t>
      </w:r>
    </w:p>
    <w:p>
      <w:pPr>
        <w:pStyle w:val="Heading2"/>
      </w:pPr>
      <w:r>
        <w:t>Abstract</w:t>
      </w:r>
    </w:p>
    <w:p>
      <w:r>
        <w:t>This study tests how Technology Acceptance Model (TAM) factors (perceived usefulness and perceived ease of use) drive adoption of computer-assisted audit techniques (CAATs) among Indonesian external auditors, and whether computer literacy moderates the CAATs effect on financial audit task effectiveness. We combine questionnaire-derived TAM measures, a hybrid computer-literacy instrument (self-report plus timed objective tasks), scenario-based performance outcomes (accuracy, professional skepticism, efficiency/documentation), and telemetry of CAAT use. Analysis uses SEM-PLS with a product-indicator latent interaction (to correct moderator measurement error) and mixed-effects models with firm and participant random effects (to account for clustering). Main contributions are (1) an empirical test of TAM→CAATs→effectiveness with a preregistered composite outcome, (2) a latent-moderator comparison showing how measurement choices affect interaction estimates, and (3) operational contamination checks using telemetry. Expected outcomes are quantified interaction estimates, reliability diagnostics, and sensitivity analyses that clarify when and for whom CAATs improve audit task effectiveness.</w:t>
      </w:r>
    </w:p>
    <w:p>
      <w:r>
        <w:t xml:space="preserve"> </w:t>
      </w:r>
    </w:p>
    <w:p>
      <w:pPr>
        <w:pStyle w:val="Heading2"/>
      </w:pPr>
      <w:r>
        <w:t>Experiments</w:t>
      </w:r>
    </w:p>
    <w:p>
      <w:r>
        <w:t>Dataset: questionnaire responses (PU, PEOU), CAATs self-reported and telemetry usage logs, computer-literacy battery (self-report scales + timed objective tasks), scenario-based task scores (Accuracy, Professional Skepticism, Efficiency/Documentation) collected from N=110 Indonesian external auditors across multiple firms and 4 scenarios per participant; firm_id and scenario_id included. Baselines: (A) SEM-PLS manifest model treating CompLit as observed moderator, (B) SEM-PLS with latent CompLit and product-indicator interaction (latent×treatment), (C) linear mixed-effects model (LMM) with manifest CompLit_z and random intercepts for firm and participant nested in firm, (D) null model (no interaction). Preprocessing: standardize continuous predictors, z-transform component scores by scenario, construct primary composite = 0.5*zAccuracy + 0.3*zSkepticism + 0.2*zEfficiency; compare alternative weightings (70/20/10 and 30/20/50). Missing data: multiple imputation via mice, m=40. Primary analyses: estimate CAAT × CompLit interaction effect size (f^2) and 95% CI in (B) and (C); report R^2 change and SRMR (for PLS-SEM) and marginal/conditional R^2 (for LMM). Reliability: compute McDonald’s omega and Cronbach’s alpha for composites and CompLit subscales. Power and sensitivity: run simr mixed-model simulations across ICC grid {0.01,0.05,0.10,0.15}, cluster sizes mean {4,6,8}, attrition {5%,10%,20%} to produce MDE tables for manifest vs latent moderator approaches. Ablations and comparisons: (1) drop objective task measures from CompLit to measure attenuation of interaction estimate, (2) compare composite aggregation methods (winsorize ±3 vs M-estimator vs rank-based) and report effect differences, (3) run contamination exclusion vs inclusion based on telemetry flags and report robustness. Contamination checks: detect CAAT commands in control arm, compute command-set Jaccard similarity, and flag participants with &gt;0.8 similarity or &gt;10% control exposure; run sensitivity analyses excluding flagged units. Reproducibility: provide seeds, container hashes, and preregistered code hooks for all simulations, imputations, SEMs, and DP routines.</w:t>
      </w:r>
    </w:p>
    <w:p>
      <w:r>
        <w:t xml:space="preserve"> </w:t>
      </w:r>
    </w:p>
    <w:p>
      <w:pPr>
        <w:pStyle w:val="Heading2"/>
      </w:pPr>
      <w:r>
        <w:t>Risk Factors And Limitations</w:t>
      </w:r>
    </w:p>
    <w:p>
      <w:r>
        <w:t>Measurement error: self-report scales and objective tasks may not fully capture computer literacy; latent-interaction SEM may fail to converge if indicators are weak (convergence risk). Small sample and clustering: N=110 and limited firm clusters reduce power for interaction detection and may impair cluster-robust inference (small-cluster bias). Interaction detectability: moderation effects are typically small; MDEs may exceed feasible sample size. Rater variability: professional-skepticism scoring depends on rater calibration and may drift. Contamination: control-arm exposure to CAAT-like commands could bias estimates; telemetry gaps may make contamination detection imperfect. Privacy and utility trade-offs: differential privacy noise and synthetic-data constraints can reduce data utility for secondary analyses. Generalization limits: results from Indonesian external auditors and selected CAAT configurations may not generalize to other countries, firm types, or CAAT versions. Computational and model risks: SEM-PLS product-indicator interactions and simr grids can be computationally heavy; mis-specified random-effects structure can bias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