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forestry_io_vietnam_2020</w:t>
      </w:r>
    </w:p>
    <w:p>
      <w:r>
        <w:t xml:space="preserve"> </w:t>
      </w:r>
    </w:p>
    <w:p>
      <w:pPr>
        <w:pStyle w:val="Heading2"/>
      </w:pPr>
      <w:r>
        <w:t>Title</w:t>
      </w:r>
    </w:p>
    <w:p>
      <w:r>
        <w:t>Quantifying the economic and CO2 impacts of Vietnam's forestry sector group using national input–output analysis and spatially explicit attribution</w:t>
      </w:r>
    </w:p>
    <w:p>
      <w:r>
        <w:t xml:space="preserve"> </w:t>
      </w:r>
    </w:p>
    <w:p>
      <w:pPr>
        <w:pStyle w:val="Heading2"/>
      </w:pPr>
      <w:r>
        <w:t>Short Hypothesis</w:t>
      </w:r>
    </w:p>
    <w:p>
      <w:r>
        <w:t>Disaggregating forestry-related industries into a 240-sector input–output model and applying spatially explicit biomass allocation will produce a statistically significant difference (p &lt; 0.05) in estimated CO2 emissions embodied in final demand compared to estimates from a standard commodity-technology IO model.</w:t>
      </w:r>
    </w:p>
    <w:p>
      <w:r>
        <w:t xml:space="preserve"> </w:t>
      </w:r>
    </w:p>
    <w:p>
      <w:pPr>
        <w:pStyle w:val="Heading2"/>
      </w:pPr>
      <w:r>
        <w:t>Related Work</w:t>
      </w:r>
    </w:p>
    <w:p>
      <w:r>
        <w:t>Existing approaches use national input–output (IO) models, life-cycle assessment (LCA), or remote sensing separately to estimate forestry economic and carbon impacts. Traditional IO studies often use coarse sector aggregation or commodity-technology assumptions, which can blur processing chains and domestic value-added. LCA offers product-level footprints but lacks economy-wide linkages. Remote sensing and national forest inventories (NFI) provide spatial biomass data but are rarely integrated into national IO frameworks. Prior integrated studies show value of linking spatial data to IO but are limited by: (1) coarse sectoral detail, (2) limited uncertainty propagation, (3) simplistic leakage assumptions, and (4) weak reproducibility (few publish priors, code, or synthetic tests). These gaps produce uncertain estimates of emissions embodied in trade, value-added retention, and import dependence, and reduce policy usefulness for province-level decisions.</w:t>
      </w:r>
    </w:p>
    <w:p>
      <w:r>
        <w:t xml:space="preserve"> </w:t>
      </w:r>
    </w:p>
    <w:p>
      <w:pPr>
        <w:pStyle w:val="Heading2"/>
      </w:pPr>
      <w:r>
        <w:t>Abstract</w:t>
      </w:r>
    </w:p>
    <w:p>
      <w:r>
        <w:t>This study uses Vietnam's 2020 national supply-use / input–output (SUT/IO) framework to quantify the forestry sector group's role in sustainable development. We construct a 240-sector symmetric IO table with an industry-technology default and a forestry-focused disaggregation. We link spatial biomass and land‑use change data (GEDI, ICESat-2, Sentinel-2/Landsat, NFI) to IO sectors through a dasymetric + gravity allocation to trace CO2 emissions and removals from pixels to final demand. We propagate uncertainty with 2,000 Monte Carlo draws and compute Sobol sensitivity indices on key parameters (emission factors, leakage, technical coefficients, product decay rates). We compare balancing methods (RAS vs cross-entropy), LWP temporal conventions (instantaneous vs amortized), and leakage priors. The main contribution is a reproducible, spatially explicit forestry-extended IO workflow that reports CO2, value added, and import dependence with quantified uncertainty. Expected outcomes are more precise sectoral footprints and policy-relevant multipliers for provincial and national decision-making.</w:t>
      </w:r>
    </w:p>
    <w:p>
      <w:r>
        <w:t xml:space="preserve"> </w:t>
      </w:r>
    </w:p>
    <w:p>
      <w:pPr>
        <w:pStyle w:val="Heading2"/>
      </w:pPr>
      <w:r>
        <w:t>Experiments</w:t>
      </w:r>
    </w:p>
    <w:p>
      <w:r>
        <w:t>Datasets: GSO SUT/IO table (2020 base year, constant 2020 prices); Vietnam NFI plot data (latest cycle, NDA); GEDI (2019–2022) and ICESat-2 footprints; Sentinel-2 and Landsat time series (1990–present); FAOSTAT commodity data (2020); UN Comtrade HS-level trade (2020); provincial stats, concession and mill registries (aggregated if confidential). Baselines: (A) standard commodity-technology symmetric IO (no forestry disaggregation), (B) IO with 240-sector disaggregation but no spatial allocation, (C) IO + LCA hybrid (product LCA aggregation). Proposed model: 240-sector symmetric IO, industry-technology default, SUT→IO rules per decision rule (&gt;70% Make → industry-technology). Balancing: RAS as default; cross-entropy as alternative when auxiliaries demand. Spatial allocation: dasymetric + gravity weight: weight_i = [α·biomass + β·plantation_mask + γ·accessibility + δ·mill_supply]·exp(-κ·distance). Uncertainty &amp; sensitivity: 2,000 Monte Carlo draws; compute Sobol first and total-order indices for 12 parameters. Candidate Sobol parameters and ranges (with simple explanations): 1) biomass allometry scale factor (lognormal, CV 15%, ±15%), 2) NFI emission factor adjustment (normal, CV 20%, ±20%), 3) leakage rate (uniform 0–0.5; fraction of displaced harvest), 4) trade import propensity for forestry goods (beta, ±20%), 5) technical coefficient multiplicative noise (lognormal, CV 10%), 6) distance-decay κ (normal, ±30%), 7) mill throughput allocation weight δ (normal, ±25%), 8) product half-life for long-lived wood products (LWP) (discrete scenarios: 5, 20, 50 years), 9) service-life decay shape parameter (normal, ±15%), 10) classification commission error (forest/non-forest) (beta, based on confusion matrix ±10–20%), 11) RAS perturbation prior (lognormal CV 5–10%), 12) VAT/margin mapping factor uncertainty (triangular ±15%). Experimental steps: 1) Build a 240-sector IO with forestry disaggregation and map HS chapters (44, 47, 48, 94) to sector codes (draft crosswalk produced). 2) Produce balanced IOs via RAS and cross-entropy; run the tiny synthetic IO CI job for unit tests. 3) Produce spatial biomass and change maps; hold out 20% of NFI plots for cross-validation. Evaluation metrics: CO2 emissions embodied in final demand (Mt CO2) with 90% and 95% credible intervals; difference in domestic value added share (%) and import dependency (% of forestry consumption imported); Leontief multipliers for output and employment; Sobol indices for parameter importance; spatial allocation RMSE (t/ha) and classification accuracy (%). Ablation studies: (i) remove spatial allocation (compare baseline B), (ii) vary LWP accounting (instantaneous vs amortized vs scenario half-lives), (iii) switch balancing method (RAS vs cross-entropy), (iv) set leakage to 0 vs 0.5. Setup details: Monte Carlo sampling uses stratified draws by forest type and province to ensure coverage; Sobol implemented with Saltelli scheme; CI and reproducibility via Dockerized pipeline and GitHub actions. Acceptance tests: synthetic IO diagnostics (row/column totals preserved within 1%), spatial CV target accuracy ≥85% and biomass RMSE &lt;20% for proceeding to final runs.</w:t>
      </w:r>
    </w:p>
    <w:p>
      <w:r>
        <w:t xml:space="preserve"> </w:t>
      </w:r>
    </w:p>
    <w:p>
      <w:pPr>
        <w:pStyle w:val="Heading2"/>
      </w:pPr>
      <w:r>
        <w:t>Risk Factors And Limitations</w:t>
      </w:r>
    </w:p>
    <w:p>
      <w:r>
        <w:t>Data confidentiality: access to NFI plots, mill registries, and customs microdata may be restricted, limiting spatial calibration. Remote sensing errors: classification confusion and biomass allometry bias may produce spatial misallocation. Sector mapping: 240-sector detail may overfit where economic data are sparse; poor mapping from HS codes to IO sectors creates misclassification. Balancing failure modes: RAS may not converge or may force large cell changes if auxiliaries conflict; cross-entropy requires defensible priors. Leakage and price feedback: IO is non-price-based; large leakage or price-driven substitution may require IO–CGE hybrid, which increases complexity. Compute costs: 32 vCPU/256GB runs with 2,000–5,000 draws are computationally heavy and increase cloud costs. Generalization limits: findings tied to 2020 base year and Vietnam data; transfer to other years/countries requires rebalancing. Evaluation bias: held-out NFI plots may not sample informal harvest or illicit activities, biasing validation. Ethical/legal: NDA delays and ethics approvals can delay field validation and reduce the available ground truth.</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