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hac_agency_framework</w:t>
      </w:r>
    </w:p>
    <w:p>
      <w:r>
        <w:t xml:space="preserve"> </w:t>
      </w:r>
    </w:p>
    <w:p>
      <w:pPr>
        <w:pStyle w:val="Heading2"/>
      </w:pPr>
      <w:r>
        <w:t>Title</w:t>
      </w:r>
    </w:p>
    <w:p>
      <w:r>
        <w:t>A four-level AI-agency framework and experimental evaluation method for assessing AI-mediated communication and distributed agency</w:t>
      </w:r>
    </w:p>
    <w:p>
      <w:r>
        <w:t xml:space="preserve"> </w:t>
      </w:r>
    </w:p>
    <w:p>
      <w:pPr>
        <w:pStyle w:val="Heading2"/>
      </w:pPr>
      <w:r>
        <w:t>Short Hypothesis</w:t>
      </w:r>
    </w:p>
    <w:p>
      <w:r>
        <w:t>Agents that actively ask clarifying questions and expose calibrated provenance and uncertainty cause higher task accuracy and fewer miscommunications than agents that do not provide clarifying questions and transparent signals.</w:t>
      </w:r>
    </w:p>
    <w:p>
      <w:r>
        <w:t xml:space="preserve"> </w:t>
      </w:r>
    </w:p>
    <w:p>
      <w:pPr>
        <w:pStyle w:val="Heading2"/>
      </w:pPr>
      <w:r>
        <w:t>Related Work</w:t>
      </w:r>
    </w:p>
    <w:p>
      <w:r>
        <w:t>Existing work spans computer-mediated communication, conversational agents, explainability, uncertainty calibration, and privacy-preserving data release. Traditional computer-mediated communication studies focus on human-to-human interactions via tools and emphasize grounding and turn-taking, but they do not model autonomous AI agents. Dialog-system research offers task-oriented and open-domain agents, including rule-based clarifiers and large language model (LLM) black-box systems; limitations include opaque outputs, limited provenance, and few standardized measures of perceived agency. Work on explainability and provenance explores exposing model evidence but often lacks experimental tests of editable provenance or real-user pilots. Uncertainty calibration research provides techniques (temperature scaling, isotonic regression) but is rarely evaluated longitudinally for trust calibration in interactive settings. Privacy and differential privacy (DP) literature proposes noise mechanisms (ε parameters) but commonly uses heuristic ε values without attacker-model risk tables. Cross-cultural evaluation and reproducible analytics are emerging needs that current methods insufficiently address, leaving gaps in safety, measurement consistency, and governance.</w:t>
      </w:r>
    </w:p>
    <w:p>
      <w:r>
        <w:t xml:space="preserve"> </w:t>
      </w:r>
    </w:p>
    <w:p>
      <w:pPr>
        <w:pStyle w:val="Heading2"/>
      </w:pPr>
      <w:r>
        <w:t>Abstract</w:t>
      </w:r>
    </w:p>
    <w:p>
      <w:r>
        <w:t>Problem: As AI shifts from passive tools to active communicative agents, researchers and practitioners need a clear conceptual and experimental basis to evaluate how AI agency affects human understanding, trust, and task outcomes. Approach: We present a Human–AI Communication (HA-C) conceptual review and an operational framework that defines four hierarchical AI agency levels—reactive, adaptive, proactive, strategic—and models distributed agency across human and AI participants. The framework identifies core mechanisms: context analysis (understanding situation), intent recognition (guessing goals), response generation (creating replies), and continuous evaluation (measuring outcomes). Contribution: We provide a preregistration-ready experimental plan, ranked hypotheses, API endpoint contracts for planner/state/uncertainty/provenance/memory modules, and measurable endpoints for privacy and safety. Expected outcome: The work yields a repeatable research protocol and evaluation suite that clarifies trade-offs between transparency, user agency, and risk, and produces practical artifacts (power analyses, annotation taxonomy, pilot designs) to guide safer human–AI conversational systems.</w:t>
      </w:r>
    </w:p>
    <w:p>
      <w:r>
        <w:t xml:space="preserve"> </w:t>
      </w:r>
    </w:p>
    <w:p>
      <w:pPr>
        <w:pStyle w:val="Heading2"/>
      </w:pPr>
      <w:r>
        <w:t>Experiments</w:t>
      </w:r>
    </w:p>
    <w:p>
      <w:r>
        <w:t>Designs and sample sizes: Lab within-subject study n=60 (each participant experiences multiple agent conditions); Field between-subject study n=80 (40 per arm); Chain-of-thought/redaction pilot n=30; Psychometric pilot n=80; Co-design workshops 4–6 sessions of 6–8 participants. Conditions to test: (1) clarifying-questions agent vs no-clarify agent; (2) provenance: editable-sanitized snippets vs sanitized-only; (3) uncertainty signaling: calibrated signal vs no signal; (4) baseline models: opaque LLM baseline and rule-based clarifier; (5) modular stack: planner/state/uncertainty/provenance/memory. Datasets and tasks: scripted task-oriented dialogues (information-seeking and scheduling tasks) and realistic field tasks (email drafting or advice-seeking scenarios) collected via crowdsourcing and lab sessions; include cross-cultural strata (languages or regions) with minimum subgroup n≈50 for moderation checks. Baselines: opaque LLM output, rule-based clarifier, modular planner with Bayesian or ensemble uncertainty estimator. Metrics: task accuracy (binary/score), miscommunication rate (annotated repair events per dialog), perceived agency (Likert scale composite), trust calibration over time (latent growth of calibration error), overconfidence (rate of accepted incorrect outputs), grounding success (sequence-based alignment score), Expected Calibration Error (ECE, measures mismatch between predicted confidence and observed accuracy), Brier score (probability-score loss), inter-rater reliability (Cohen's κ), and critical error rate (domain-specific serious mistakes). Experimental setup: random assignment, counterbalancing in within-subjects, API endpoints /plan, /state/get, /state/update, /uncertainty/score, /provenance/generate, /memory/query logged; mixed-effects models (random intercepts for participant and item) and latent growth models for longitudinal trust; success criteria: p&lt;0.05 and Cohen's d&gt;0.3 for primary hypothesis. Ablations and comparisons: (A) remove uncertainty estimator to test effect on calibration and behavior; (B) compare editable provenance vs sanitized provenance; (C) compare clarifying-questions implemented by rule-based vs LLM planner; (D) sensitivity analysis across attrition (0%, 10%, 20%) and ICC values (0.4, 0.5, 0.6). Privacy and DP: release aggregated metrics with differential privacy ε in [1,2] and report re-identification risk for each ε choice. Analysis artifacts: provide runnable analysis notebooks (R/Python) and mixed-model code with prespecified models.</w:t>
      </w:r>
    </w:p>
    <w:p>
      <w:r>
        <w:t xml:space="preserve"> </w:t>
      </w:r>
    </w:p>
    <w:p>
      <w:pPr>
        <w:pStyle w:val="Heading2"/>
      </w:pPr>
      <w:r>
        <w:t>Risk Factors And Limitations</w:t>
      </w:r>
    </w:p>
    <w:p>
      <w:r>
        <w:t>Technical failure modes: miscalibrated uncertainty (poor calibration widens ECE), incorrect provenance that misleads users, editable provenance enabling malicious edits, and model drift across sessions. Data and evaluation biases: annotation errors, low inter-rater reliability, cultural noninvariance of scales, and sampling bias from crowdsourced or lab populations. Scalability and compute limits: modular stack, ensemble uncertainty, and provenance generation increase compute and latency, limiting real-time deployment. Generalization limits: results may not transfer across domains (medical, legal) or languages; small subgroup sizes reduce power for moderation tests. Privacy and adversarial risk: re-identification via auxiliary data or social-graph linkage can exceed modeled bounds; differential privacy utility loss at low ε reduces metric fidelity. Ethical/regulatory constraints: chain-of-thought exposure cannot be used in high-stakes settings, limiting experiments in some domains. Measurement limits: composite constructs (trust, perceived agency) may have limited construct validity and require repeated psychometric refinement.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