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asean_logistics_ag_exports_ppml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impact of logistics performance on ASEAN agricultural exports using an augmented gravity model with Poisson pseudo-maximum likelihood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Improvements in logistics performance (higher LPI or faster door-to-port and lower days-to-export) cause an increase in ASEAN agricultural export value at the product-destination level.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gravity models to relate trade to costs and often applies Poisson pseudo-maximum likelihood (PPML) to handle zero flows and heteroskedasticity. Many studies rely on national LPI (a perception-based index) or single operational measures (e.g., days-to-export) and report positive associations between logistics and exports. Limitations of current approaches include: reliance on cross-sectional or simple panel FE that can conflate time trends and selection; weak attention to non-classical measurement error in LPI; sparse use of credible instruments or donor-project timing to establish causality; staggered difference-in-differences estimators that can produce bias under heterogeneous treatment timing; and little mediation analysis that separates transit-time effects from customs or spoilage channels. Spatial allocation uncertainty and limited reproducibility practices (synthetic data, containerized code) also remain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logistics performance causally affects agricultural exports from ASEAN countries. We estimate an augmented gravity model at exporter–importer–HS6–year level using Poisson pseudo-maximum likelihood (PPML, a method robust to many zero trade flows and heteroskedasticity) on product-level bilateral data for ten ASEAN economies and 196 partners from 2007–2022. We triangulate perception-based national LPI with objective operational measures (AIS sailing times, door-to-port travel times, days-to-export) and incorporate multiple high-dimensional fixed effects to control for multilateral resistance and time-varying shocks. For causal identification we pre-register an IV strategy using donor-funded logistics project timing and intensity, and apply modern staggered DiD and dose–response estimators for continuous exposure. We also pre-specify mediation analysis to separate channels (transit time, customs delay, spoilage). The main contribution is a reproducible, policy-relevant estimation pipeline that delivers elasticity estimates, mediation decomposition, and uncertainty bands accounting for measurement and spatial allocation error, informing where logistics improvements most increase agricultural export value.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Bilateral product-level trade (export value and quantity) at HS6 for 10 ASEAN exporters and 196 partners, annual 2007–2022; 2) National LPI series and subcomponents (years available); 3) AIS-derived port-to-port sailing times; 4) Door-to-port and door-to-destination travel-time rasters from friction surfaces; 5) World Bank/ADB/ donor project database with project timing, location, disbursement and eligibility; 6) Customs days-to-export logs and port dwell records where available; 7) Spatial layers (OSM roads, ports, production maps). Baselines: A) PPML gravity with exporter–product–year and importer–year fixed effects (no IV); B) log-linear OLS with FE (for comparison); C) PPML with LPI instrumented by donor-project timing (IV-PPML); D) DiD estimators: Callaway &amp; Sant’Anna and Sun &amp; Abraham for discrete reforms; E) Dose–response DiD for continuous LPI change. Estimands and metrics: primary metric is elasticity of export value to logistics measures; secondary metrics: effects on export quantity, unit value, intensive margin (conditional export value) and extensive margin (presence count); first-stage F-statistic and partial R2 for instruments; weak-instrument robust CIs (Anderson–Rubin/LIML); placebo outcome p-values; pre-trend coefficients. Experimental setup: core equation estimated by PPML: E[Exports_ijpt] = exp(beta*Logistics_pt + FE_exporter-product-year + FE_importer-year + X_ijt*gamma) with clustering two-way (exporter and importer or exporter-country and importer-country as appropriate). Measurement-error ablation: (i) full triangulation (LPI + AIS + door-to-port), (ii) LPI only, (iii) instrumented LPI, (iv) SIMEX/regression-calibration corrections. Spatial uncertainty ablation: use single deterministic friction surface vs Monte Carlo ensemble of 200 draws propagating travel-time and allocation uncertainty. Mediation experiments: IV-mediated estimators and sequential g-estimation to decompose direct vs indirect effects through transit time, customs delay, and spoilage proxies. Evaluation and robustness: compare effect sizes across baselines, run heterogeneity by perishability and product value, apply multiple-testing control (Benjamini–Hochberg), and report naive, corrected, and bounded estimates with standard errors and weak-instrument robust intervals.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Instrument validity: donor-project timing may correlate with unobserved export demand or selection rules; exclusion restriction may be imperfect. 2) Measurement error: LPI is perception-based and error may be non-classical (error correlated with true value), which can bias correction methods. 3) Data gaps: customs logs, port dwell and firm-level export microdata may be incomplete or confidential, limiting sample or forcing reliance on proxies. 4) Selection and dynamics: exporter entry/exit and firm selection into export markets can produce dynamic bias not fully removed by FE. 5) Small-cluster inference: limited treated clusters or few donors can weaken inference and require weak-instrument robust CIs. 6) Spatial allocation uncertainty: misplacing production or exporter locations can bias travel-time covariates. 7) Computational cost: PPML with very high-dimensional fixed effects and Monte Carlo ensembles requires large memory and compute. 8) Generalizability: results apply to the sampled ASEAN countries, commodities and period and may not transfer to non-ASEAN contexts. 9) Privacy constraints: legal limits may prevent public release of detailed microdata; synthetic data will reduce but not eliminate utility loss.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