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sak_emkm_mutiara_pilot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Synthetic-control and mixed-effects evaluation of SAK EMKM implementation to reduce transaction errors and improve audit-readiness in a microenterprise financial reporting case study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Introducing SAK EMKM-aligned accounting templates combined with owner training at Mutiara Laundry causes a reduction in transaction-level error rate of at least 10 percentage points within three months relative to a synthetic control.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addresses MSME accounting improvement via training, templated bookkeeping, and low-cost digital tools, and uses evaluation methods like difference-in-differences (DiD), synthetic control (constructing a weighted combination of comparison units to estimate a counterfactual), and mixed-effects models (statistical models that account for grouped data, e.g., transactions within months). Limitations of existing approaches include weak causal identification for single-site pilots, scarce high-frequency transaction-level verification, poor measurement reliability (few double-coding procedures), limited handling of clustering when transactions are not independent, and lack of reproducible power analyses across realistic intra-cluster correlations. Work on synthetic control often assumes a quality donor pool and stable pre-trends, which is not guaranteed for MSME datasets. Studies also rarely report concrete audit-readiness rubrics or materiality rules tied to local currency bands, reducing operational replicability.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whether implementing SAK EMKM (financial accounting standards for micro, small, and medium entities) at a service-sector MSME reduces bookkeeping errors and improves audit-readiness. We deploy SAK EMKM-mapped chart of accounts, annotated journal templates, and owner training at Mutiara Laundry and estimate causal impact using a synthetic control constructed from comparable local MSMEs plus pre-post mixed-effects models (transactions nested in months). Primary outcomes are per-transaction binary error rate, reconciliation discrepancy (%), time-to-close (hours), and a 0–100 audit-readiness composite. We pre-specify an audit-verification protocol with stratified random sampling and double-coding to ensure measurement reliability. The main contribution is an operational, reproducible evaluation that combines a practical audit rubric and inferential methods (synthetic control, DiD, and mixed-effects) adapted to single-site constraints. Expected outcome is transparent, quantifiable evidence on whether SAK EMKM adoption materially improves reporting quality and timeliness in a low-resource MSME, informing policy and scalable support programs.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Mutiara Laundry transaction ledger: transaction_id, date, amount, payment_type (cash/bank/credit), supporting_doc_present (0/1), COA_code, reconciled_flag, timestamp; horizon: 6 months pre-intervention + 6–12 months post-intervention. (2) Donor-pool: 10–20 comparable MSMEs with same fields and ≥6 months baseline. (3) Survey data: owner education, financial literacy score, smartphone access, monthly revenue. Baselines: (A) status quo informal bookkeeping; (B) SAK EMKM templates without training; (C) SAK EMKM templates with training (treatment). Primary metrics and formulas: error_rate_fm = 100 * (sum(error_ijt) / N_inspected_fm) where error_ijt = 1 if COA misclassification OR |reported_amount − source_amount| &gt; tolerance OR supporting_doc_present==0; reconciliation_discrepancy_fm = 100 * (|book_balance − external_balance| / total_receipts_fm); time_to_close_fm = mean hours from month-end to owner-verified final report; audit_readiness_fm ∈ [0,100] composite by weighted rubric. Evaluation design: (1) Synthetic control method (SCM): construct weighted donor combination to match pre-intervention trajectories of error_rate and revenue; perform placebo/permutation inference across donors. (2) Transaction-level mixed-effects logistic regression: logit(P(error_ijt)) = β * post_treatment_t + X_ijtγ + u_month_t + v_firm + ε_ijt, where X includes revenue, owner_edu, payment_type, smartphone_access; random effects u_month_t and v_firm capture grouping (transactions nested in months nested in firm). Cluster-robust SEs at firm-month. (3) DiD with matched controls as sensitivity. Sample-size and power: report scenarios using standard two-sample proportion formula and design effect DE=1+(m−1)*ICC; include sensitivity table for baseline error rates {0.30,0.20,0.15} and ICCs {0.01,0.02,0.05}. Measurement protocol: monthly stratified random audit sample = max(30–60, 10% monthly volume); double-coding 20% initial then 10% after ICC≥0.75 (ICC: intraclass correlation coefficient, a reliability measure). Missing data: multiple imputation if &gt;5% missing; complete-case sensitivity. Comparisons/ablations: (i) SAK EMKM + training vs SAK EMKM only; (ii) SCM inference vs DiD; (iii) models with vs without transaction-level covariates to test robustness.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single-site treated unit may differ from donors in unobserved ways, reducing external validity. Donor-pool quality: insufficient or non-comparable donors can invalidate synthetic control. Measurement error: missing or poor-quality supporting documents and inconsistent verifier coding can bias error_rate; double-coding may still miss systematic errors. Low adherence: owners may not fully adopt templates, producing weak treatment intensity. Hawthorne effect: behavior change due to being observed may not persist. Clustering and ICC: high intra-cluster correlation (transactions within months) inflates required sample size and may lead to underpowered tests. Connectivity and technical limits: offline capture and sync failures can cause data loss. Privacy and IRB delays: consent or ethics approval delays can postpone data collection. Generalizability: results from a single laundry may not transfer to different sectors or larger MSMEs. No mitigation strategies are specified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