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electionshock_sub_asean_volatility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GARCH analysis of presidential election shocks and stock return volatility in sub-Southeast Asian markets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Presidential-election shocks, measured by poll/betting surprises and text-derived political uncertainty, cause an increase in stock return volatility (higher log realized volatility and larger GARCH conditional variance) in Indonesia, Malaysia, Thailand, and the Philippines within pre-specified event windows.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study political uncertainty and markets using event studies with realized volatility, HAR models (which model volatility persistence using daily, weekly, monthly lags), and GARCH-family models (which model time-varying variance). Text-derived political uncertainty indices (PUI) and polling/betting surprises have been used as shock measures. Limitations in prior work include: limited cross-country, institution-aware comparisons across emerging Asian markets; sparse intraday microstructure treatment (thin trading and noise correction often omitted); weak or unvalidated instruments for causal claims; inconsistent PUI construction and out-of-sample validation; and frequent omission of small-cluster robust inference. Prior methods therefore leave open identification concerns (endogeneity of news and markets), measurement error in uncertainty signals, and limited power for detecting modest volatility effects across low-frequency event counts.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how presidential-election shocks affect stock return volatility in four sub-Southeast Asian markets (Indonesia, Malaysia, Thailand, Philippines). We use a pre-registered econometric pipeline combining firm-level realized volatility (RV) built from intraday bars (primary 5-minute grid, pre-averaging + realized-kernel), market-level HAR models (Heterogeneous Autoregressive model that captures volatility persistence across horizons), and GARCH/EGARCH index specifications augmented with election-shock regressors and text-derived Political Uncertainty Indices (PUI). We compare pre- and post-election dummy effects, continuous surprise magnitudes (poll/betting deviations), and instrumented PUI estimates to probe causality. Main contributions: harmonized, microstructure-aware RV construction across four markets; a cross-country causal test of election shocks on volatility; and a locked inference plan addressing small-cluster and weak-IV problems. Expected outcome: quantified country-specific and pooled effect sizes (percent change in RV), validated PUI predictive value, and robust inference that clarifies whether and how presidential elections amplify market risk in sub-ASEAN contexts.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Intraday trade-and-quote data (1-, 5-, 15-minute bars) and firm-level trades for IDX (Indonesia), Bursa Malaysia, SET (Thailand), PSE (Philippines) for 2000–2024; market indices; global controls (US returns, VIX), FX, commodity prices, sovereign CDS; polls and betting-market odds; multilingual news and social media for PUI. Baselines: (1) HAR model without election shocks; (2) GARCH index model without election dummies; (3) firm-level log-RV OLS panel with controls. Confirmatory models: (A) firm-level panel: log(RV)_{i,t} = α + β·ElectionShock_{c,t} + X'_{i,t}γ + η_i + δ_t + ε_{i,t}; (B) HAR at market level: RV_{c,t} = α + Σ_{k∈{1,5,22}} β_k RV_{c,t-k} + γ·ElectionShock_{c,t} + controls; (C) GARCH/EGARCH index: r_{c,t} with log(h_t)=ω+αε_{t-1}^2+βlog(h_{t-1})+θ·ElectionShock_{c,t}+Z'ψ. Event windows: intraday [-60,+60] minutes, narrow [-1,+1] trading days, medium [-7,+7], wide [-30,+30]. Instruments: time-zone-lagged international media intensity and exogenous procedural announcements; pre-specify first-stage F&gt;10 and partial R2 thresholds. Evaluation metrics: β and θ effect sizes (percent change in RV), t-statistics, adjusted p-values using Benjamini–Hochberg and Westfall–Young for overlapping windows, wild-cluster bootstrap p-values when clusters small, first-stage F and Kleibergen–Paap for IVs, out-of-sample predictive R2 for PUI (OOS = out-of-sample). Power: compute minimal detectable effects (MDE) for 80% and 90% power using pilot SDs and clustered variance. Robustness and ablation studies: (i) remove liquidity controls (bid-ask spread, turnover) to show bias; (ii) replace PUI with alternate text-only lexicon measure; (iii) sample-grid sensitivity: 1-min, 5-min, 15-min RV; (iv) instrument exclusion: IV vs OLS comparison; (v) small-cluster inference: compare cluster-robust SE, wild-cluster bootstrap, and permutation inference across event dates. Reporting: country-specific and pooled estimates, MDE tables, first-stage diagnostics, and pre-trend/placebo test results (1000 random-date permutations).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Exogeneity risk: ElectionShock (poll/betting surprise) may be endogenous to contemporaneous firm shocks, violating causal identification. Instrument risk: instruments (international media lags, procedural announcements) can fail exclusion restrictions or be weak. Data quality: thin trading, sparse intraday coverage, or missing quotes can bias RV; fixed minimum trade-count thresholds may reduce sample size. Small sample of election events: few treated dates limit power and inference; clustering across years reduces effective degrees of freedom. Measurement error: PUI construction and multilingual text quality may vary by country and time, producing noisy signals. Microstructure noise: intraday estimators may still be biased in low-liquidity intervals. Generalizability: results from four sub-ASEAN markets may not extend to other regions or to non-presidential political events. Legal and operational constraints: vendor licensing and data access limits may prevent full public replication of raw data.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