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km_competitive_advantage_sanaa</w:t>
      </w:r>
    </w:p>
    <w:p>
      <w:r>
        <w:t xml:space="preserve"> </w:t>
      </w:r>
    </w:p>
    <w:p>
      <w:pPr>
        <w:pStyle w:val="Heading2"/>
      </w:pPr>
      <w:r>
        <w:t>Title</w:t>
      </w:r>
    </w:p>
    <w:p>
      <w:r>
        <w:t>A two-wave longitudinal multilevel structural equation modeling study of how knowledge management practices affect competitive advantage in Yemeni banks in Sana'a</w:t>
      </w:r>
    </w:p>
    <w:p>
      <w:r>
        <w:t xml:space="preserve"> </w:t>
      </w:r>
    </w:p>
    <w:p>
      <w:pPr>
        <w:pStyle w:val="Heading2"/>
      </w:pPr>
      <w:r>
        <w:t>Short Hypothesis</w:t>
      </w:r>
    </w:p>
    <w:p>
      <w:r>
        <w:t>Greater maturity of knowledge management practices (generation, sharing, storage, application) in a bank causes higher competitive advantage as measured by objective KPIs (ROA, ROE, NIM, NPL, loan growth, customer retention) three months later.</w:t>
      </w:r>
    </w:p>
    <w:p>
      <w:r>
        <w:t xml:space="preserve"> </w:t>
      </w:r>
    </w:p>
    <w:p>
      <w:pPr>
        <w:pStyle w:val="Heading2"/>
      </w:pPr>
      <w:r>
        <w:t>Related Work</w:t>
      </w:r>
    </w:p>
    <w:p>
      <w:r>
        <w:t>Prior work shows that knowledge management (KM) and strategic orientation are linked to firm performance and innovation in service sectors, and that KM practices can support competitive advantage. Existing studies largely use cross-sectional surveys, single-level models, and self-reported performance, which creates risks of common-method bias and weak causal claims. Some studies incorporate qualitative or mixed methods but lack large-sample objective KPI linkage. Recent trends emphasize data analytics and customer-centric strategies but studies rarely combine objective financial KPIs with multilevel inference. Limitations in current approaches include: reliance on single-wave designs that cannot establish temporal ordering; inadequate treatment of endogeneity and weak instruments; insufficient multilevel modeling of branch/respondent variance; limited measurement invariance testing across institution types; and under-reporting of robustness checks (IV diagnostics, weak-IV inference, MNAR sensitivity). These gaps limit causal credibility and generalization in fragile or regulated contexts like Yemeni banking.</w:t>
      </w:r>
    </w:p>
    <w:p>
      <w:r>
        <w:t xml:space="preserve"> </w:t>
      </w:r>
    </w:p>
    <w:p>
      <w:pPr>
        <w:pStyle w:val="Heading2"/>
      </w:pPr>
      <w:r>
        <w:t>Abstract</w:t>
      </w:r>
    </w:p>
    <w:p>
      <w:r>
        <w:t>This study examines whether and how knowledge management (KM) practices enable competitive advantage in the Yemeni banking sector using a two-wave longitudinal, multilevel approach. Problem: prior evidence is often cross-sectional, self-reported, and single-level, limiting causal claims. Approach: collect Wave 1 measures of strategic orientation and controls and Wave 2 measures (≈3 months later) of KM maturity and outcomes, plus monthly administrative KPIs for a bank panel. Analyze with multilevel structural equation modeling (SEM) (SEM is a statistical model that estimates relationships between observed and latent variables across levels) and IV-SEM sensitivity checks where natural instruments exist. Main contribution: combine objective KPI panels, multilevel mediation (within- and between-bank effects), instrument-based endogeneity checks, and pre-registered decision rules to improve causal identification in a fragile-context banking field study. Expected outcome: clear, testable estimates of the causal effect of KM practices on bank competitive advantage and identification of moderators (regulatory clarity, ICT readiness) that change effect size, informing both theory and practical KM governance in emerging-market banks.</w:t>
      </w:r>
    </w:p>
    <w:p>
      <w:r>
        <w:t xml:space="preserve"> </w:t>
      </w:r>
    </w:p>
    <w:p>
      <w:pPr>
        <w:pStyle w:val="Heading2"/>
      </w:pPr>
      <w:r>
        <w:t>Experiments</w:t>
      </w:r>
    </w:p>
    <w:p>
      <w:r>
        <w:t>Datasets: (1) Two-wave survey of employees in Sana'a banks, target N=300 respondents sampled across 60 banks (aim 3–6 respondents per bank); Wave1 collects strategic orientation, moderators, controls; Wave2 (≈3 months later) collects KM process measures and subjective mediators. (2) Administrative KPI panel: monthly bank-level KPIs for 12 months pre-Wave1 and 6 months post-Wave2 where available (ROA, ROE, NIM, NPL ratio, loan growth, customer acquisition/retention, loan approval turnaround, new-product counts). Baselines: A) cross-sectional single-level SEM on Wave2; B) single-level SEM with cluster-robust SEs; C) two-level SEM (respondents nested in banks) with group-mean centering; D) IV-SEM using candidate instruments (regulator mandate dates, IT rollout timing, branch outage frequency); E) bank fixed-effects panel regressions and DiD when KPI panel allows. Evaluation metrics: model fit (CFI, RMSEA; CFI is comparative fit index, RMSEA is root-mean-square error of approximation), standardized path coefficients and p-values, significance and size of indirect (mediated) effects, first-stage partial F (for instrument strength), first-stage partial R2, Kleibergen–Paap rk statistic, robust CIs (Anderson–Rubin, CLR) under weak instruments, predictive R2 for KPI changes, and robustness metrics (E-value, Oster Δ). Experimental setup: pre-specify aggregation rules (rwg&gt;0.70 and ICC(1)≥.05 to aggregate; ICC(2)≥.70 for reliable bank means), use multiple imputation (MICE) with m=30 for missing data, perform Monte Carlo power simulations varying banks=40/60/80, respondents per bank=3–6, ICC scenarios (0.05–0.20), and unequal cluster sizes; center level-1 predictors by group mean to separate within-/between effects; run ablations: (i) drop objective KPIs to compare subjective-only outcomes; (ii) drop moderators to test moderator-by-mediator interaction importance; (iii) test alternate instrument sets and placebo instruments; (iv) compare CB-SEM vs PLS-SEM for small-sample sensitivity. Software: R (lavaan, simsem, mice), Mplus for two-level SEM and IV-SEM where needed. Report seeded code and synthetic data for reproducibility.</w:t>
      </w:r>
    </w:p>
    <w:p>
      <w:r>
        <w:t xml:space="preserve"> </w:t>
      </w:r>
    </w:p>
    <w:p>
      <w:pPr>
        <w:pStyle w:val="Heading2"/>
      </w:pPr>
      <w:r>
        <w:t>Risk Factors And Limitations</w:t>
      </w:r>
    </w:p>
    <w:p>
      <w:r>
        <w:t>Nonresponse and small within-bank sample sizes may reduce power for within-bank mediation (3 respondents per bank is marginal). Monthly KPI availability may be incomplete or inconsistent across banks, limiting panel-based fixed-effects or DiD designs. Candidate instruments may be weak or invalid (low first-stage F, violated exclusion restriction), requiring weak-instrument robust inference and limiting causal claims. Security, access, or regulatory restrictions in Sana'a could delay waves or reduce sample representativeness. Measurement noninvariance across public/private/Islamic banks could limit cross-group comparisons. Common-method bias remains a risk for self-reported measures despite temporal separation. Missing data may be MNAR (not missing at random), complicating imputation and inference. Findings may not generalize beyond Sana'a or similar fragile, regulated banking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