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strategic_enablers_vn_smes</w:t>
      </w:r>
    </w:p>
    <w:p>
      <w:r>
        <w:t xml:space="preserve"> </w:t>
      </w:r>
    </w:p>
    <w:p>
      <w:pPr>
        <w:pStyle w:val="Heading2"/>
      </w:pPr>
      <w:r>
        <w:t>Title</w:t>
      </w:r>
    </w:p>
    <w:p>
      <w:r>
        <w:t>Quantitative analysis using PLS-SEM and instrumental-variable methods of strategic enablers of digital transformation in Vietnamese SMEs</w:t>
      </w:r>
    </w:p>
    <w:p>
      <w:r>
        <w:t xml:space="preserve"> </w:t>
      </w:r>
    </w:p>
    <w:p>
      <w:pPr>
        <w:pStyle w:val="Heading2"/>
      </w:pPr>
      <w:r>
        <w:t>Short Hypothesis</w:t>
      </w:r>
    </w:p>
    <w:p>
      <w:r>
        <w:t>Greater internal digital resources cause higher firm digital maturity, and higher digital maturity causes greater objective annual revenue growth among Vietnamese SMEs.</w:t>
      </w:r>
    </w:p>
    <w:p>
      <w:r>
        <w:t xml:space="preserve"> </w:t>
      </w:r>
    </w:p>
    <w:p>
      <w:pPr>
        <w:pStyle w:val="Heading2"/>
      </w:pPr>
      <w:r>
        <w:t>Related Work</w:t>
      </w:r>
    </w:p>
    <w:p>
      <w:r>
        <w:t>Existing work studies firm digital transformation using surveys and case studies and emphasizes customer experience, supply-chain integration, and government support. Quantitative approaches often use exploratory and confirmatory factor analysis (EFA, CFA) and partial least squares structural equation modeling (PLS-SEM) to map measurement and structural relationships. Causal studies apply simple difference-in-differences (DiD) or OLS which can be biased when adoption timing varies or when adoption is endogenous. Common limitations are small samples, cross-sectional designs, reliance on self-reported outcomes (common-method bias), weak or untested instruments (an instrument is a variable used to isolate causal variation), naive DiD for staggered rollouts, and unclear formative vs. reflective measurement choices (formative = indicators cause the construct; reflective = indicators reflect the construct). Reproducibility and pre-specification are also weak in many prior studies.</w:t>
      </w:r>
    </w:p>
    <w:p>
      <w:r>
        <w:t xml:space="preserve"> </w:t>
      </w:r>
    </w:p>
    <w:p>
      <w:pPr>
        <w:pStyle w:val="Heading2"/>
      </w:pPr>
      <w:r>
        <w:t>Abstract</w:t>
      </w:r>
    </w:p>
    <w:p>
      <w:r>
        <w:t>This study examines which strategic enablers drive digital transformation and subsequent performance in Vietnamese small and medium enterprises (SMEs). We combine a nationally stratified survey of SMEs with administrative linkage and Monte Carlo power simulations to test causal paths from internal resources and external enablers to digital maturity and to objective revenue growth. Our approach uses exploratory and confirmatory factor analysis to finalize measurement, two-stage PLS-SEM as the primary structural estimator (formative and reflective mapping specified), and instrumental-variable (IV) and staggered-adoption estimators as causal robustness checks. Main contributions are (1) pre-registered, reproducible decision rules for measurement and causal inference; (2) path-specific minimum detectable effects from large-scale simulations; and (3) clear practical recommendations for SME leaders and policymakers based on causal and sensitivity analyses. Expected outcomes include validated measures of digital maturity, quantified effect sizes for enablers, and transparent limits on causal claims to inform policy and SME investment choices.</w:t>
      </w:r>
    </w:p>
    <w:p>
      <w:r>
        <w:t xml:space="preserve"> </w:t>
      </w:r>
    </w:p>
    <w:p>
      <w:pPr>
        <w:pStyle w:val="Heading2"/>
      </w:pPr>
      <w:r>
        <w:t>Experiments</w:t>
      </w:r>
    </w:p>
    <w:p>
      <w:r>
        <w:t>Datasets: (A) Survey dataset: N=610 Vietnamese SMEs across 16 sectors, stratified by region, sector and size; items cover digital adoption, cyber posture, cloud/analytics, governance, partnerships, government support, and firm financials. Time anchor: last 12 months. (B) Administrative linkage: tax records, employment records, customs where available (matched by business registration or hashed ID). (C) Simulated datasets: Monte Carlo scenes for N=400 and N=600 with ICCs 0.02/0.03 and attrition 0%/30%. Baselines: OLS with covariates; PLS-SEM without instruments (Plan A); CB-SEM (lavaan) with factor scores; naive DiD; staggered-adoption estimators (Callaway &amp; Sant'Anna, Sun &amp; Abraham); IV 2SLS using pre-specified instruments; SEM-IV / factor-augmented IV as latent-IV approach. Evaluation metrics: standardized path coefficients and 95% bootstrap CIs; R-squared for endogenous constructs; SRMR for PLS fit (approximate fit index); first-stage F-statistics and partial R2 for instruments; Hansen J (overidentification) p-values; AR(2) and Hansen for GMM where used; Cronbach's alpha and composite reliability for reflective scales; indicator weights and VIF (&lt;3.3) for formative scales; power and minimum detectable effects (MDE) tables for each path; proportion of compliers and LATE description. Experimental setup: pre-register analysis and seeds; multiple imputation by chained equations (m=50) for item-level missing data; bootstrap resamples n=5000 for inferential CIs; Monte Carlo reps=10,000 for power; cluster-robust SEs by strata; subgroup tests (exporting vs non-exporting, size classes). Ablation studies: (1) formative vs reflective mapping: compare Mode B formative vs equal-weight composite and PCA-derived weights; (2) staggered estimators: compare naive DiD, Callaway &amp; Sant'Anna, Sun &amp; Abraham for staggered adoption windows and pre-specified event-window leads/lags; (3) latent-IV methods: compare 2SLS on factor scores, SEM-IV, and factor-augmented IV to assess measurement-error sensitivity and how factor-score uncertainty affects inference. Report all code, seeds, package versions, and a minimal runnable toy script in preregistration.</w:t>
      </w:r>
    </w:p>
    <w:p>
      <w:r>
        <w:t xml:space="preserve"> </w:t>
      </w:r>
    </w:p>
    <w:p>
      <w:pPr>
        <w:pStyle w:val="Heading2"/>
      </w:pPr>
      <w:r>
        <w:t>Risk Factors And Limitations</w:t>
      </w:r>
    </w:p>
    <w:p>
      <w:r>
        <w:t>Instrument invalidity: instruments (e.g., staggered grants, broadband rollout, training vouchers) may violate exclusion restrictions or be targeted to specific firms, limiting causal claims. Measurement error: using factor scores in IV/2SLS can attenuate estimates (factor-score uncertainty is a risk). Common-method bias: many variables are self-reported, which can bias correlations. Nonresponse and linkage failure: low response or inability to match administrative IDs will reduce power and may bias estimates. Small cluster counts: few clusters per strata will make cluster-robust SEs unreliable. MNAR missingness: if data are not missing at random, MI assumptions fail. System-GMM risks: instrument proliferation and weak diagnostics can invalidate GMM results (AR(2), Hansen). Generalizability: findings from Vietnamese SMEs may not apply to other countries or larger firms. Computational cost: nested bootstrap+MI and large Monte Carlo simulations require substantial compute time. Interpretation limit: IV estimates identify a local average treatment effect (LATE), which applies to compliers only and may not generalize to all SMEs.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