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who_drives_sustainability_id</w:t>
      </w:r>
    </w:p>
    <w:p>
      <w:r>
        <w:t xml:space="preserve"> </w:t>
      </w:r>
    </w:p>
    <w:p>
      <w:pPr>
        <w:pStyle w:val="Heading2"/>
      </w:pPr>
      <w:r>
        <w:t>Title</w:t>
      </w:r>
    </w:p>
    <w:p>
      <w:r>
        <w:t>A PRISMA-guided systematic bibliometric and mixed-method contribution analysis of stakeholder marketing practices and sustainability outcomes in Indonesia</w:t>
      </w:r>
    </w:p>
    <w:p>
      <w:r>
        <w:t xml:space="preserve"> </w:t>
      </w:r>
    </w:p>
    <w:p>
      <w:pPr>
        <w:pStyle w:val="Heading2"/>
      </w:pPr>
      <w:r>
        <w:t>Short Hypothesis</w:t>
      </w:r>
    </w:p>
    <w:p>
      <w:r>
        <w:t>Regions where corporate-led stakeholder marketing initiatives (multinationals or BUMN) are the primary actors will exhibit larger reductions in regional deforestation rates within three years after initiative start than regions where NGO- or community-led initiatives are primary.</w:t>
      </w:r>
    </w:p>
    <w:p>
      <w:r>
        <w:t xml:space="preserve"> </w:t>
      </w:r>
    </w:p>
    <w:p>
      <w:pPr>
        <w:pStyle w:val="Heading2"/>
      </w:pPr>
      <w:r>
        <w:t>Related Work</w:t>
      </w:r>
    </w:p>
    <w:p>
      <w:r>
        <w:t>Existing approaches fall into four groups: (1) bibliometric studies that map publication networks but focus on English-language academic outputs and omit grey literature; (2) case-based qualitative work that documents actor practices and perceptions but lacks systematic cross-case generalization; (3) remote-sensing studies that measure environmental outcomes (deforestation, fires) but rarely connect them to actor-level engagement practices; and (4) causal inference applications using difference-in-differences or synthetic controls applied to single interventions. Limitations across these approaches include anglophone and publication-type bias (underuse of Bahasa and Perda/grey sources), weak entity disambiguation (mis-assigning authors/institutions), limited provenance weighting for grey literature, sparse integration of bibliometrics with ground-level interviews/case process tracing, and inadequate handling of staggered interventions and spatial spillovers in quantitative causal tests. Prior influence measures are rarely validated against external benchmarks or expert-elicited ground truth.</w:t>
      </w:r>
    </w:p>
    <w:p>
      <w:r>
        <w:t xml:space="preserve"> </w:t>
      </w:r>
    </w:p>
    <w:p>
      <w:pPr>
        <w:pStyle w:val="Heading2"/>
      </w:pPr>
      <w:r>
        <w:t>Abstract</w:t>
      </w:r>
    </w:p>
    <w:p>
      <w:r>
        <w:t>This study examines whether and which stakeholder marketing practices drive measurable sustainability outcomes in Indonesia. Using a PRISMA-guided systematic bibliometric review combined with bilingual grey-literature harvesting, we build a metadata-enriched corpus of academic and policy documents. We extract actor networks, thematic topics, and a composite influence score that combines network centrality, resource proxies, regulatory power, social legitimacy, media visibility, and evidence strength. We then test causal links between actor-led marketing initiatives and environmental outcomes (notably deforestation) using mixed methods: nested process tracing in comparative case studies and pre-registered quantitative tests (staggered DiD and synthetic control variants). Main contributions are (1) an open, bilingual, provenance-aware dataset and reproducible codebook, (2) a validated composite influence metric, and (3) an integrated causal evidence base that triangulates bibliometrics, remote sensing, and interviews. Expected outcomes include clearer knowledge of which actor types most plausibly contribute to reduced deforestation and policy-relevant evidence for targeted stakeholder engagement.</w:t>
      </w:r>
    </w:p>
    <w:p>
      <w:r>
        <w:t xml:space="preserve"> </w:t>
      </w:r>
    </w:p>
    <w:p>
      <w:pPr>
        <w:pStyle w:val="Heading2"/>
      </w:pPr>
      <w:r>
        <w:t>Experiments</w:t>
      </w:r>
    </w:p>
    <w:p>
      <w:r>
        <w:t>Datasets: (a) bibliographic records from Scopus, Web of Science, Google Scholar, SINTA, Garuda, OpenAlex; (b) grey literature from KLHK, Bappenas, ESDM, KKP portals, provincial Perda/JDIH pages, BUMN CSR reports, NGO archives (Walhi, WWF, KPA); (c) remote sensing outcomes: Global Forest Watch deforestation, Landsat/Sentinel land-cover timeseries, MODIS/VIIRS fire hotspots; (d) administrative and survey covariates: ISPO/RSPO registries, SUSENAS (household income proxies), provincial GDP, road density. Target corpus size: 3,000–10,000 documents; spatial units: provinces and districts across Indonesia for 2008–2023. Baselines: (B1) bibliometric-only English pipeline (no grey literature); (B2) monolingual coding (English only); (B3) no composite influence score (use raw centrality only); (B4) standard DiD without staggered-treatment corrections. Preprocessing and labeling: bilingual tokenization, custom stoplists, lemmatization; two independent Bahasa–English coders per document; back-translation on 15–20% sample; target Krippendorff’s alpha &gt;= 0.7. Entity resolution: ORCID/ROR matching + fuzzy string match threshold 0.85, manual validation for top 200 ambiguous entities. Composite score computation: transform skewed indicators with log(x+1), z-score normalization, theory-based weights (regulatory 25%, resources 25%, centrality 20%, legitimacy 15%, visibility 10%, evidence 5%), bootstrap n=1000 for 95% CI. Topic models: LDA and BERTopic in parallel; evaluate coherence (C_v) and human interpretability. Network analyses: VOSviewer/NetworkX for degree/betweenness, modularity, temporal slicing. Causal tests: select treated units with documented initiative onset (Perda or major CSR program); pre-period min 5 years. Run: (C1) standard DiD, (C2) Callaway &amp; Sant’Anna and Sun &amp; Abraham staggered-DiD corrections (to handle staggered treatments), (C3) GSynth / synthetic control ensembles for selected units. Covariates: baseline deforestation trend, GDP per capita, population density, certification presence, road density. Evaluation metrics: intercoder reliability (Krippendorff’s alpha), entity-resolve precision/recall, topic coherence (C_v), network rank stability (Spearman rho), composite score predictive validity (AUC/ROC) against external benchmark lists (administrative/regulatory lists), DiD effect estimates and clustered SE p-values, synthetic control RMSPE, placebo-in-space/time p-values, Rosenbaum bounds for unobserved confounding. Ablation studies: (A1) remove legitimacy indicator from composite score; (A2) use PCA-derived weights vs theory weights; (A3) exclude grey literature; (A4) bilingual vs monolingual coding. Significance thresholds: two-sided p&lt;0.05 for quantitative tests. Deliverables: reproducible code, dataset with metadata, per-experiment result tables and robustness matrix.</w:t>
      </w:r>
    </w:p>
    <w:p>
      <w:r>
        <w:t xml:space="preserve"> </w:t>
      </w:r>
    </w:p>
    <w:p>
      <w:pPr>
        <w:pStyle w:val="Heading2"/>
      </w:pPr>
      <w:r>
        <w:t>Risk Factors And Limitations</w:t>
      </w:r>
    </w:p>
    <w:p>
      <w:r>
        <w:t>Data access risk: some Perda pages, BUMN reports, or NGO archives may be missing, removed, or inaccessible, causing sample bias. Language and translation risk: Bahasa–English translation errors and semantic drift can bias coding. Entity resolution risk: fuzzy matching and limited ORCID coverage may misassign authors/institutions. Causal identification limits: spatial spillovers and network interference may violate DiD assumptions; staggered treatments complicate estimation and reduce power. Measurement limits: remote-sensing proxies (deforestation, fires) are imperfect proxies for local outcomes like livelihoods or conflict. Grey-literature bias: variable quality and provenance may skew evidence if not properly weighted. Sample representativeness: 15–20 interviews may under-represent Indonesia's regional heterogeneity without targeted oversampling. Ethical and legal constraints: adat consent, IRB delays, or legal risks from sensitive documents may restrict data use. Computational limits: large remote-sensing and full-text corpora require substantial compute and storage. Generalization limits: findings in Indonesian provinces and sectors (palm oil, forestry, coastal management) may not generalize to other countries or sectors.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