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governance_taxavoidance_china</w:t>
      </w:r>
    </w:p>
    <w:p>
      <w:r>
        <w:t xml:space="preserve"> </w:t>
      </w:r>
    </w:p>
    <w:p>
      <w:pPr>
        <w:pStyle w:val="Heading2"/>
      </w:pPr>
      <w:r>
        <w:t>Title</w:t>
      </w:r>
    </w:p>
    <w:p>
      <w:r>
        <w:t>Staggered difference-in-differences and dynamic panel analysis of corporate governance effects on tax avoidance in Chinese listed manufacturing firms</w:t>
      </w:r>
    </w:p>
    <w:p>
      <w:r>
        <w:t xml:space="preserve"> </w:t>
      </w:r>
    </w:p>
    <w:p>
      <w:pPr>
        <w:pStyle w:val="Heading2"/>
      </w:pPr>
      <w:r>
        <w:t>Short Hypothesis</w:t>
      </w:r>
    </w:p>
    <w:p>
      <w:r>
        <w:t>Improvements in corporate governance cause a reduction in corporate tax avoidance, as measured by a document-validated adjusted cash effective tax rate (CETRadj), among Chinese listed manufacturing firms.</w:t>
      </w:r>
    </w:p>
    <w:p>
      <w:r>
        <w:t xml:space="preserve"> </w:t>
      </w:r>
    </w:p>
    <w:p>
      <w:pPr>
        <w:pStyle w:val="Heading2"/>
      </w:pPr>
      <w:r>
        <w:t>Related Work</w:t>
      </w:r>
    </w:p>
    <w:p>
      <w:r>
        <w:t>Prior work links stronger corporate governance to lower tax avoidance using accounting measures such as ETRs and book-tax differences. Common approaches use cross-sectional regressions, panel OLS with firm and year fixed effects, or two-way fixed effects (TWFE) difference-in-differences. Known limitations include biased TWFE estimates under staggered or heterogeneous treatment timing, weak handling of endogeneity from simultaneous governance and tax-policy changes, noisy tax-avoidance measures (unadjusted ETR/CETR ignore preferential tax items), poor measurement of related-party transactions and transfer pricing, and limited use of unstructured disclosures (text) to validate tax-preference amounts. Few studies apply modern staggered estimators, rigorous IV diagnostics, or small-cluster inference corrections in the Chinese institutional context. NLP extraction of tax-footnote detail is underused and often lacks OCR error quantification. Spatial and network spillovers are rarely tested, leaving open interference and generalization concerns.</w:t>
      </w:r>
    </w:p>
    <w:p>
      <w:r>
        <w:t xml:space="preserve"> </w:t>
      </w:r>
    </w:p>
    <w:p>
      <w:pPr>
        <w:pStyle w:val="Heading2"/>
      </w:pPr>
      <w:r>
        <w:t>Abstract</w:t>
      </w:r>
    </w:p>
    <w:p>
      <w:r>
        <w:t>This study tests whether corporate governance improvements causally reduce corporate tax avoidance in Chinese listed manufacturing firms. We combine modern staggered difference-in-differences estimators (group-time ATT and event studies) with dynamic panel methods and instrumented governance variation from institutional rollouts to address endogeneity. Tax avoidance is measured using an adjusted cash effective tax rate (CETRadj) that is validated by manual parsing of tax footnotes and annotation of preferential tax items. We integrate textual governance and tax-risk indices from annual reports to improve measurement and capture unobserved governance features. Main contributions are (1) precise causal identification under staggered adoption and overlapping reforms, (2) validated tax-rate measures adjusted for explicit preferences, and (3) demonstration of incremental predictive value of text-derived indices. Expected outcome is robust, policy-relevant estimates of the governance-to-tax-avoidance effect size, with detailed diagnostics on pre-trends, IV strength, measurement error, spillovers, and reproducible code and annotation artifacts.</w:t>
      </w:r>
    </w:p>
    <w:p>
      <w:r>
        <w:t xml:space="preserve"> </w:t>
      </w:r>
    </w:p>
    <w:p>
      <w:pPr>
        <w:pStyle w:val="Heading2"/>
      </w:pPr>
      <w:r>
        <w:t>Experiments</w:t>
      </w:r>
    </w:p>
    <w:p>
      <w:r>
        <w:t>Datasets: firm-year panel of Chinese A-share manufacturing firms (CSMAR/WIND financials) and corporate annual reports and tax footnotes scraped from filings, combined with treatment timelines: split-share reform dates, independent-director mandate rollouts, and provincial Golden Tax upgrade dates; sample years 2005-2020; purposive sample requires &gt;=5 pre-treatment and &gt;=3 post-treatment years per treated firm. Outcome variables: CETRadj (document-validated adjusted cash ETR), raw CETR, ETR, permanent and abnormal book-tax differences. Baselines: (A) TWFE OLS with firm and year fixed effects; (B) Sun &amp; Abraham event-study; (C) Callaway &amp; Sant'Anna group-time ATT; (D) IV-GMM using eligibility/pilot instruments; (E) dynamic Arellano-Bond GMM. Controls and fixed effects: firm FE, year FE, industry-by-year FE, size (log assets), ROA, leverage, cash holdings, Big4 auditor, RPTIntensity, political-connection dummy. Clustering: primary firm-level clustered SEs; robustness multi-way clustering firm×province and firm×year; small-cluster IV: wild cluster bootstrap. Identification checks: event-window t-5..t+5 lead plots, joint F-test of pre-trends, placebo time and placebo outcomes (non-tax cash flows), leave-one-province-out, and network/spillover regressions using supply-chain adjacency. IV diagnostics: first-stage F-stat, partial R2, Kleibergen-Paap, Hansen/Sargan p-values and Conley bounds. NLP pipeline: annotate stratified 2,000 documents, two annotators per doc, holdout 20%; classifier metrics reported (precision, recall, F1). Ablation studies: (1) remove text indices and compare ATT and R-squared; (2) exclude RPT controls; (3) compare estimators TWFE vs Sun &amp; Abraham vs Callaway &amp; Sant'Anna; (4) run EIV/SIMEX correction vs naive regressions; (5) SOE vs private subsamples and high-RPT vs low-RPT splits. Evaluation metrics: ATT estimates and 95% CIs, CETR percentage-point changes per 1-SD governance change, first-stage F, overidentification p-values, classifier precision/recall/F1, measurement-error bias estimates from validation subsample. Pre-registered plots and tables: event-study graphs, cohort-specific ATT tables, IV diagnostics, robustness matrix, and ablation results.</w:t>
      </w:r>
    </w:p>
    <w:p>
      <w:r>
        <w:t xml:space="preserve"> </w:t>
      </w:r>
    </w:p>
    <w:p>
      <w:pPr>
        <w:pStyle w:val="Heading2"/>
      </w:pPr>
      <w:r>
        <w:t>Risk Factors And Limitations</w:t>
      </w:r>
    </w:p>
    <w:p>
      <w:r>
        <w:t>Measurement error: incomplete or ambiguous tax footnotes, OCR errors, and noisy RPT disclosures can bias CETR adjustments and textual indices. Small-cluster inference: province-level instruments may yield few clusters, limiting reliable SEs and IV inference. Overlapping treatments: firms exposed to multiple reforms create assignment ambiguity and require detailed rules; misclassification risks remain. Dynamic confounding: time-varying omitted variables may bias staggered-DID if not fully controlled. External validity: findings for listed manufacturing firms in China may not generalize to other sectors, private firms, or countries. Compliance and instrument validity: pilots or mandates may not induce uniform compliance, complicating LATE interpretation. NLP generalization: classifiers trained on annotated years may degrade over time (concept drift) and across firm disclosure styles. Computational and data access limits: full-text scraping, OCR, and annotation require compute and human resources; proprietary database restrictions limit public data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