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internship_workreadiness_vn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the causal impact of business internships on work readiness of Vietnamese economics students using staggered difference-in-differences and structural equation modeling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Participation in business internships causally increases final-year Vietnamese economics students' work readiness relative to nonparticipants.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studies measure links between internships and employment outcomes using cross-sectional comparisons, propensity-score matching, or simple panel regressions. Many apply the knowledge–skills–abilities (KSA) framework to define work readiness and use self-determination theory (SDT) to explain motivation mechanisms. Existing approaches are limited by selection bias (students who self-select into internships differ from nonparticipants), weak causal identification (two-way fixed effects can produce biased weights when treatment timing varies), limited mediation identification (few studies jointly estimate skills and motivation as mediators), small-cluster inference issues (few institutions but cluster-robust SEs not tailored), and measurement problems (reliance on self-reported readiness and earnings without employer or administrative validation). Prior work also rarely prespecifies spillover checks (peer or firm interference) or provides minimum detectable effect calculations for clustered, staggered designs.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addresses whether business internships bridge the gap between university training and work readiness for Vietnamese economics students. We combine a structured survey of final-year students with administrative and employer-assessment data and apply a prespecified causal pipeline: staggered difference-in-differences estimators for cohort rollouts (primary) and structural equation modeling (SEM) to test mediation by professional skills and work motivation. The main contribution is a reproducible, decision-rule-based analysis that integrates causal estimation (cohort-specific average treatment effects) with mediation analysis to separate skill acquisition from motivational pathways. We report robustness across estimator families, small-cluster inference procedures, and spillover diagnostics. Expected outcomes include an estimate of the internship effect on a validated work-readiness index and labor-market outcomes, plus quantified indirect effects through skills and motivation. Results will inform policy on whether and how internships accelerate university-to-work transitions.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Primary survey of 389 final-year economics students from multiple Vietnamese universities with items on tasks, supervision, hours, payment, skills tests, and motivation scales; (2) Employer assessments linked by firm identifier; (3) Administrative employment/earnings records where available; (4) University cohort rollout/timing metadata. Baselines: (A) untreated controls (no internship), (B) propensity-score weighted comparisons, (C) two-way fixed effects (TWFE) as a naive baseline. Primary estimators: Callaway &amp; Sant’Anna (C&amp;S) staggered DiD when treated cohorts &gt;=5 and pre-period &gt;=3 (C&amp;S yields cohort-specific ATT(g,t); ATT = aggregated average treatment effect on the treated), otherwise stacked DiD primary; Sun &amp; Abraham (SA) event-study as complement. Mediation: structural equation modeling (SEM) estimating direct effect of internship on work-readiness index and indirect paths via professional skills and work motivation; report standardized path coefficients. Covariates: baseline GPA, gender, region, pre-treatment skill scores, regional monthly unemployment, COVID indicator, academic term. Inference: cluster SEs at university level; if clusters&lt;30 use wild cluster bootstrap (Rademacher) and CR2 corrections; report Romano–Wolf stepdown for primary family and Benjamini–Hochberg for secondary outcomes. Evaluation metrics: continuous work-readiness index (mean and standardized effect), binary employment at 6 and 12 months (average treatment effect on probability), monthly earnings (winsorized). Ablations/comparisons: (1) Compare C&amp;S vs SA vs TWFE pooled estimates and report Goodman–Bacon decomposition to expose negative weights; (2) Ablate mediation by excluding work motivation or professional skills from SEM to measure mediator contribution; (3) Replace composite internship-quality index with single components (paid status, supervision score) to test dose–response. Diagnostics: pre-trend joint F-tests, placebo fake-treatment timing, overlap SMDs, attrition checks (report IPW and multiple imputation variants).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Selection bias: students self-selecting into internships may differ on unobserved traits, limiting causal claims if instruments or rollout variation are weak. Instrument weakness: candidate IVs (policy rollouts, firm shocks) may have low first-stage F-statistics. Small-cluster inference: few universities can reduce precision and invalidate asymptotic SEs. Attrition and missing data: follow-up loss above 20% or differential attrition by treatment can bias estimates. Measurement error: self-reported earnings and readiness scores may be noisy or biased; employer/admin linkage may be incomplete. Mediation limits: SEM identifies mediation under untestable no-unmeasured-confounding between mediator and outcome. Spillovers/SUTVA violations: peer networks or shared employers can contaminate controls; detecting interference requires network measures. Power constraints: sample size (n=389) limits detectability of small effects, especially for earnings. External validity: results may not generalize beyond Vietnamese economics students or to different fields or countries.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