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digital_zakat_mvp</w:t>
      </w:r>
    </w:p>
    <w:p>
      <w:r>
        <w:t xml:space="preserve"> </w:t>
      </w:r>
    </w:p>
    <w:p>
      <w:pPr>
        <w:pStyle w:val="Heading2"/>
      </w:pPr>
      <w:r>
        <w:t>Title</w:t>
      </w:r>
    </w:p>
    <w:p>
      <w:r>
        <w:t>A mixed-methods experimental evaluation of an API-first digital platform for improving efficiency, transparency, and accountability in zakat collection and distribution.</w:t>
      </w:r>
    </w:p>
    <w:p>
      <w:r>
        <w:t xml:space="preserve"> </w:t>
      </w:r>
    </w:p>
    <w:p>
      <w:pPr>
        <w:pStyle w:val="Heading2"/>
      </w:pPr>
      <w:r>
        <w:t>Short Hypothesis</w:t>
      </w:r>
    </w:p>
    <w:p>
      <w:r>
        <w:t>Deploying an API-first digital zakat platform that encodes machine-readable nisab/hawl rules and automated multi-source valuation will increase the proportion of eligible beneficiaries receiving verified zakat within 14 days by at least 10 percentage points and reduce overall leakage by at least 10% compared to existing manual processes.</w:t>
      </w:r>
    </w:p>
    <w:p>
      <w:r>
        <w:t xml:space="preserve"> </w:t>
      </w:r>
    </w:p>
    <w:p>
      <w:pPr>
        <w:pStyle w:val="Heading2"/>
      </w:pPr>
      <w:r>
        <w:t>Related Work</w:t>
      </w:r>
    </w:p>
    <w:p>
      <w:r>
        <w:t>Existing work spans digital payment integration for charities, fintech-enabled donation platforms, and cryptographic transparency tools (e.g., verifiable credentials, Merkle-anchored audit trails). Prior systems improved payment speed or audit logs but often treat religious rulings, complex mixed-asset valuation, and local legal constraints as manual processes. Research on privacy-preserving proofs (ZK, or zero-knowledge proofs, which let one prove a fact without revealing underlying data) and threshold signing (MPC, or multi-party computation, which splits keys among parties) shows technical feasibility but has rarely been applied end-to-end for charity flows with jurisprudential rulepacks. Limitations in prior approaches include: weak handling of mixed-asset wallets (stablecoin vs volatile tokens vs fiat), lack of reproducible synthetic datasets and CI-gated rule tests, limited cross-jurisdiction legal mapping, and scarce randomized or quasi-experimental evaluation of real-world disbursement outcomes.</w:t>
      </w:r>
    </w:p>
    <w:p>
      <w:r>
        <w:t xml:space="preserve"> </w:t>
      </w:r>
    </w:p>
    <w:p>
      <w:pPr>
        <w:pStyle w:val="Heading2"/>
      </w:pPr>
      <w:r>
        <w:t>Abstract</w:t>
      </w:r>
    </w:p>
    <w:p>
      <w:r>
        <w:t>This study assesses whether an API-first digital platform that encodes jurisprudential rules (nisab and hawl), automated valuation across fiat and crypto assets, and provable audit trails improves zakat delivery. We build machine-readable rulepacks (OpenAPI + RDF/OWL fatwa ontology), a valuation service using multi-exchange VWAP/median windows, privacy-preserving proof primitives, and a synthetic reproducible dataset. We run a two-jurisdiction pilot using a cluster-randomized or stepped-wedge design to compare the platform to standard manual workflows. Main contributions are: (1) operational rulepack and fatwa ontology that produce deterministic eligibility outputs, (2) a reproducible synthetic corpus and backtest methodology for crypto-nisab decisions, and (3) an empirical impact evaluation measuring time-to-disbursement, leakage, fairness across demographics, and cost per disbursement. Expected outcomes include measurable increases in timely verified disbursements, lower leakage, auditable decision trails, and concrete guidance for inclusive technology adoption in zakat institutions.</w:t>
      </w:r>
    </w:p>
    <w:p>
      <w:r>
        <w:t xml:space="preserve"> </w:t>
      </w:r>
    </w:p>
    <w:p>
      <w:pPr>
        <w:pStyle w:val="Heading2"/>
      </w:pPr>
      <w:r>
        <w:t>Experiments</w:t>
      </w:r>
    </w:p>
    <w:p>
      <w:r>
        <w:t>Datasets: synthetic, deterministic and seeded with fixed RNG seed: 10,000 donor accounts (demographics, KYC attestations), 5,000 beneficiary profiles (asnaf labels), 30,000 asset-holding records (cash, bank, securities, stablecoins, volatile tokens), 180-day price series for top 50 tokens (per-exchange tick/OHLC). Baselines: (A) current manual process (human eligibility review + manual disbursement), (B) simple digital payments without machine-readable rulepacks, (C) variant valuation policies (single-exchange VWAP, VWAP_24h median across top-5, median_7d). Metrics: primary — proportion of eligible beneficiaries receiving verified zakat within 14 days; secondary — time-to-disbursement distribution (median, 90th pct), leakage rate (funds not reaching intended beneficiaries), eligibility classification FP/FN rates by gender/region, cost per disbursement (USD), audit-trail completeness (% of transactions with verifiable Merkle proof), throughput (transactions/sec), and ZK/MPC latency (prove/verify times). Experimental setup: two-jurisdiction cluster-randomized trial (clusters stratified by urban/rural and gender mix) with target sample ≈2,656 individuals total for 10pp MDE at 80% power under ICC=0.05; repeated backtests on historical and synthetic price series with stress scenarios ±10/±30/±50% and illiquid tokens. Ablation studies: (1) remove selective-disclosure ZK proofs to measure privacy vs operational cost, (2) replace multi-exchange VWAP with single-exchange feed to measure valuation sensitivity, (3) vary liquidity threshold ($250k vs $100k) and measure FP/FN trade-offs. Reproducibility: all code, OpenAPI, RDF/fatwa samples, SHACL manifests, and data-generation scripts committed to seeded repos with CI tests that assert deterministic rulepack outputs on canonical test vectors.</w:t>
      </w:r>
    </w:p>
    <w:p>
      <w:r>
        <w:t xml:space="preserve"> </w:t>
      </w:r>
    </w:p>
    <w:p>
      <w:pPr>
        <w:pStyle w:val="Heading2"/>
      </w:pPr>
      <w:r>
        <w:t>Risk Factors And Limitations</w:t>
      </w:r>
    </w:p>
    <w:p>
      <w:r>
        <w:t>Data-quality and manipulation: exchange price feeds can be noisy or manipulated, producing wrong valuations for nisab; backtest may not catch rare market attacks. Liquidity and valuation limits: thinly traded tokens will produce unstable nisab signals and higher FP/FN rates. Digital access and literacy: beneficiaries or donors with low connectivity or digital literacy may be excluded; SMS/USSD alternatives have limited UX and cryptographic capability. Legal/regulatory barriers: local KYC/AML rules or custody law may block operations or require onshore custody, limiting cross-border generalization. Privacy leakage: poor integration of verifiable credentials or identity vaults can leak PII. Scalability: ZK proof generation and MPC signing can be compute-intensive, causing latency at scale; proving times (seconds) may harm low-bandwidth UX. Evaluation biases: synthetic data may not represent real-world heterogeneity; cluster randomization may suffer from spillovers. Threat model constraints: MPC/HSM assumptions (honest majority vs threshold adversary) restrict security guarantees and recovery options. Operational risk: custody counterparty concentration and staffing burn under higher-than-expected transaction volumes may create single points of failure. Generalization: results from two pilot jurisdictions may not transfer to divergent legal, cultural, or market conditions.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